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eastAsia="黑体"/>
          <w:color w:val="000000"/>
          <w:kern w:val="0"/>
          <w:sz w:val="32"/>
          <w:szCs w:val="21"/>
        </w:rPr>
      </w:pPr>
      <w:r>
        <w:rPr>
          <w:rFonts w:eastAsia="黑体"/>
          <w:color w:val="000000"/>
          <w:kern w:val="0"/>
          <w:sz w:val="32"/>
          <w:szCs w:val="21"/>
        </w:rPr>
        <w:t>附件2</w:t>
      </w:r>
    </w:p>
    <w:p>
      <w:pPr>
        <w:adjustRightInd w:val="0"/>
        <w:snapToGrid w:val="0"/>
        <w:spacing w:line="400" w:lineRule="exact"/>
        <w:jc w:val="left"/>
        <w:rPr>
          <w:rFonts w:eastAsia="黑体"/>
          <w:color w:val="000000"/>
          <w:kern w:val="0"/>
          <w:sz w:val="32"/>
          <w:szCs w:val="21"/>
        </w:rPr>
      </w:pPr>
    </w:p>
    <w:p>
      <w:pPr>
        <w:jc w:val="center"/>
        <w:rPr>
          <w:rFonts w:hint="eastAsia" w:ascii="方正小标宋简体" w:hAnsi="方正小标宋简体" w:eastAsia="方正小标宋简体" w:cs="方正小标宋简体"/>
          <w:bCs/>
          <w:color w:val="000000"/>
          <w:kern w:val="0"/>
          <w:sz w:val="36"/>
          <w:szCs w:val="36"/>
        </w:rPr>
      </w:pPr>
      <w:r>
        <w:rPr>
          <w:rFonts w:hint="eastAsia" w:ascii="方正小标宋简体" w:hAnsi="方正小标宋简体" w:eastAsia="方正小标宋简体" w:cs="方正小标宋简体"/>
          <w:bCs/>
          <w:color w:val="000000"/>
          <w:kern w:val="0"/>
          <w:sz w:val="36"/>
          <w:szCs w:val="36"/>
        </w:rPr>
        <w:t>湖南省法律服务“双随机一公开”抽查事项清单</w:t>
      </w:r>
    </w:p>
    <w:p>
      <w:pPr>
        <w:spacing w:line="400" w:lineRule="exact"/>
        <w:jc w:val="center"/>
        <w:rPr>
          <w:rFonts w:hint="eastAsia" w:ascii="方正小标宋简体" w:hAnsi="方正小标宋简体" w:eastAsia="方正小标宋简体" w:cs="方正小标宋简体"/>
          <w:bCs/>
          <w:color w:val="000000"/>
          <w:kern w:val="0"/>
          <w:sz w:val="36"/>
          <w:szCs w:val="36"/>
        </w:rPr>
      </w:pPr>
    </w:p>
    <w:tbl>
      <w:tblPr>
        <w:tblStyle w:val="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738"/>
        <w:gridCol w:w="3575"/>
        <w:gridCol w:w="675"/>
        <w:gridCol w:w="812"/>
        <w:gridCol w:w="1463"/>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556" w:type="dxa"/>
            <w:vAlign w:val="center"/>
          </w:tcPr>
          <w:p>
            <w:pPr>
              <w:widowControl/>
              <w:spacing w:line="300" w:lineRule="exact"/>
              <w:jc w:val="center"/>
              <w:textAlignment w:val="center"/>
              <w:rPr>
                <w:bCs/>
                <w:color w:val="000000"/>
                <w:kern w:val="0"/>
                <w:szCs w:val="21"/>
              </w:rPr>
            </w:pPr>
            <w:r>
              <w:rPr>
                <w:rFonts w:eastAsia="黑体"/>
                <w:bCs/>
                <w:color w:val="000000"/>
                <w:kern w:val="0"/>
                <w:szCs w:val="21"/>
              </w:rPr>
              <w:t>序号</w:t>
            </w:r>
          </w:p>
        </w:tc>
        <w:tc>
          <w:tcPr>
            <w:tcW w:w="738" w:type="dxa"/>
            <w:vAlign w:val="center"/>
          </w:tcPr>
          <w:p>
            <w:pPr>
              <w:widowControl/>
              <w:spacing w:line="300" w:lineRule="exact"/>
              <w:jc w:val="center"/>
              <w:textAlignment w:val="center"/>
              <w:rPr>
                <w:bCs/>
                <w:color w:val="000000"/>
                <w:kern w:val="0"/>
                <w:szCs w:val="21"/>
              </w:rPr>
            </w:pPr>
            <w:r>
              <w:rPr>
                <w:rFonts w:eastAsia="黑体"/>
                <w:bCs/>
                <w:color w:val="000000"/>
                <w:kern w:val="0"/>
                <w:szCs w:val="21"/>
              </w:rPr>
              <w:t>项目</w:t>
            </w:r>
            <w:r>
              <w:rPr>
                <w:rFonts w:eastAsia="黑体"/>
                <w:bCs/>
                <w:color w:val="000000"/>
                <w:kern w:val="0"/>
                <w:szCs w:val="21"/>
              </w:rPr>
              <w:br w:type="textWrapping"/>
            </w:r>
            <w:r>
              <w:rPr>
                <w:rFonts w:eastAsia="黑体"/>
                <w:bCs/>
                <w:color w:val="000000"/>
                <w:kern w:val="0"/>
                <w:szCs w:val="21"/>
              </w:rPr>
              <w:t>名称</w:t>
            </w:r>
          </w:p>
        </w:tc>
        <w:tc>
          <w:tcPr>
            <w:tcW w:w="3575" w:type="dxa"/>
            <w:vAlign w:val="center"/>
          </w:tcPr>
          <w:p>
            <w:pPr>
              <w:widowControl/>
              <w:spacing w:line="300" w:lineRule="exact"/>
              <w:jc w:val="center"/>
              <w:textAlignment w:val="center"/>
              <w:rPr>
                <w:bCs/>
                <w:color w:val="000000"/>
                <w:kern w:val="0"/>
                <w:szCs w:val="21"/>
              </w:rPr>
            </w:pPr>
            <w:r>
              <w:rPr>
                <w:rFonts w:eastAsia="黑体"/>
                <w:bCs/>
                <w:color w:val="000000"/>
                <w:kern w:val="0"/>
                <w:szCs w:val="21"/>
              </w:rPr>
              <w:t>抽查依据</w:t>
            </w:r>
          </w:p>
        </w:tc>
        <w:tc>
          <w:tcPr>
            <w:tcW w:w="675" w:type="dxa"/>
            <w:vAlign w:val="center"/>
          </w:tcPr>
          <w:p>
            <w:pPr>
              <w:widowControl/>
              <w:spacing w:line="300" w:lineRule="exact"/>
              <w:jc w:val="center"/>
              <w:textAlignment w:val="center"/>
              <w:rPr>
                <w:bCs/>
                <w:color w:val="000000"/>
                <w:kern w:val="0"/>
                <w:szCs w:val="21"/>
              </w:rPr>
            </w:pPr>
            <w:r>
              <w:rPr>
                <w:rFonts w:eastAsia="黑体"/>
                <w:bCs/>
                <w:color w:val="000000"/>
                <w:kern w:val="0"/>
                <w:szCs w:val="21"/>
              </w:rPr>
              <w:t>抽查</w:t>
            </w:r>
            <w:r>
              <w:rPr>
                <w:rFonts w:eastAsia="黑体"/>
                <w:bCs/>
                <w:color w:val="000000"/>
                <w:kern w:val="0"/>
                <w:szCs w:val="21"/>
              </w:rPr>
              <w:br w:type="textWrapping"/>
            </w:r>
            <w:r>
              <w:rPr>
                <w:rFonts w:eastAsia="黑体"/>
                <w:bCs/>
                <w:color w:val="000000"/>
                <w:kern w:val="0"/>
                <w:szCs w:val="21"/>
              </w:rPr>
              <w:t>主体</w:t>
            </w:r>
          </w:p>
        </w:tc>
        <w:tc>
          <w:tcPr>
            <w:tcW w:w="812" w:type="dxa"/>
            <w:vAlign w:val="center"/>
          </w:tcPr>
          <w:p>
            <w:pPr>
              <w:widowControl/>
              <w:spacing w:line="300" w:lineRule="exact"/>
              <w:jc w:val="center"/>
              <w:textAlignment w:val="center"/>
              <w:rPr>
                <w:bCs/>
                <w:color w:val="000000"/>
                <w:kern w:val="0"/>
                <w:szCs w:val="21"/>
              </w:rPr>
            </w:pPr>
            <w:r>
              <w:rPr>
                <w:rFonts w:eastAsia="黑体"/>
                <w:bCs/>
                <w:color w:val="000000"/>
                <w:szCs w:val="21"/>
              </w:rPr>
              <w:t>抽查对象</w:t>
            </w:r>
          </w:p>
        </w:tc>
        <w:tc>
          <w:tcPr>
            <w:tcW w:w="1463" w:type="dxa"/>
            <w:vAlign w:val="center"/>
          </w:tcPr>
          <w:p>
            <w:pPr>
              <w:widowControl/>
              <w:spacing w:line="300" w:lineRule="exact"/>
              <w:jc w:val="center"/>
              <w:textAlignment w:val="center"/>
              <w:rPr>
                <w:bCs/>
                <w:color w:val="000000"/>
                <w:kern w:val="0"/>
                <w:szCs w:val="21"/>
              </w:rPr>
            </w:pPr>
            <w:r>
              <w:rPr>
                <w:rFonts w:eastAsia="黑体"/>
                <w:bCs/>
                <w:color w:val="000000"/>
                <w:szCs w:val="21"/>
              </w:rPr>
              <w:t>抽查内容</w:t>
            </w:r>
          </w:p>
        </w:tc>
        <w:tc>
          <w:tcPr>
            <w:tcW w:w="703" w:type="dxa"/>
            <w:vAlign w:val="center"/>
          </w:tcPr>
          <w:p>
            <w:pPr>
              <w:widowControl/>
              <w:spacing w:line="300" w:lineRule="exact"/>
              <w:jc w:val="center"/>
              <w:textAlignment w:val="center"/>
              <w:rPr>
                <w:bCs/>
                <w:color w:val="000000"/>
                <w:kern w:val="0"/>
                <w:szCs w:val="21"/>
              </w:rPr>
            </w:pPr>
            <w:r>
              <w:rPr>
                <w:rFonts w:eastAsia="黑体"/>
                <w:bCs/>
                <w:color w:val="000000"/>
                <w:kern w:val="0"/>
                <w:szCs w:val="21"/>
              </w:rPr>
              <w:t>抽查</w:t>
            </w:r>
            <w:r>
              <w:rPr>
                <w:rFonts w:eastAsia="黑体"/>
                <w:bCs/>
                <w:color w:val="000000"/>
                <w:kern w:val="0"/>
                <w:szCs w:val="21"/>
              </w:rPr>
              <w:br w:type="textWrapping"/>
            </w:r>
            <w:r>
              <w:rPr>
                <w:rFonts w:eastAsia="黑体"/>
                <w:bCs/>
                <w:color w:val="000000"/>
                <w:kern w:val="0"/>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6" w:type="dxa"/>
            <w:vAlign w:val="center"/>
          </w:tcPr>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rPr>
                <w:color w:val="000000"/>
              </w:rPr>
            </w:pPr>
            <w:r>
              <w:rPr>
                <w:color w:val="000000"/>
              </w:rPr>
              <w:t xml:space="preserve"> 1</w:t>
            </w: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jc w:val="center"/>
              <w:rPr>
                <w:color w:val="000000"/>
              </w:rPr>
            </w:pPr>
          </w:p>
          <w:p>
            <w:pPr>
              <w:spacing w:line="300" w:lineRule="exact"/>
              <w:rPr>
                <w:b/>
                <w:color w:val="000000"/>
                <w:kern w:val="0"/>
                <w:sz w:val="36"/>
                <w:szCs w:val="36"/>
              </w:rPr>
            </w:pPr>
          </w:p>
        </w:tc>
        <w:tc>
          <w:tcPr>
            <w:tcW w:w="738" w:type="dxa"/>
            <w:vAlign w:val="center"/>
          </w:tcPr>
          <w:p>
            <w:pPr>
              <w:spacing w:line="300" w:lineRule="exact"/>
              <w:jc w:val="center"/>
              <w:rPr>
                <w:b/>
                <w:color w:val="000000"/>
                <w:kern w:val="0"/>
                <w:sz w:val="36"/>
                <w:szCs w:val="36"/>
              </w:rPr>
            </w:pPr>
            <w:r>
              <w:rPr>
                <w:rFonts w:eastAsia="仿宋_GB2312"/>
                <w:color w:val="000000"/>
                <w:kern w:val="0"/>
                <w:sz w:val="24"/>
              </w:rPr>
              <w:t>律师法律服务监管</w:t>
            </w:r>
          </w:p>
        </w:tc>
        <w:tc>
          <w:tcPr>
            <w:tcW w:w="3575" w:type="dxa"/>
            <w:vAlign w:val="center"/>
          </w:tcPr>
          <w:p>
            <w:pPr>
              <w:spacing w:line="300" w:lineRule="exact"/>
              <w:rPr>
                <w:rFonts w:eastAsia="仿宋_GB2312"/>
                <w:color w:val="000000"/>
                <w:kern w:val="0"/>
                <w:sz w:val="24"/>
              </w:rPr>
            </w:pPr>
            <w:r>
              <w:rPr>
                <w:rFonts w:eastAsia="仿宋_GB2312"/>
                <w:color w:val="000000"/>
                <w:kern w:val="0"/>
                <w:sz w:val="24"/>
              </w:rPr>
              <w:t xml:space="preserve">   </w:t>
            </w:r>
            <w:r>
              <w:rPr>
                <w:rFonts w:eastAsia="仿宋_GB2312"/>
                <w:b/>
                <w:bCs/>
                <w:color w:val="000000"/>
                <w:kern w:val="0"/>
                <w:sz w:val="24"/>
              </w:rPr>
              <w:t>《律师法》第四条</w:t>
            </w:r>
            <w:r>
              <w:rPr>
                <w:rFonts w:eastAsia="仿宋_GB2312"/>
                <w:color w:val="000000"/>
                <w:kern w:val="0"/>
                <w:sz w:val="24"/>
              </w:rPr>
              <w:t xml:space="preserve"> 司法行政部门依照本法对律师、律师事务所和律师协会进行监督、指导。</w:t>
            </w:r>
            <w:r>
              <w:rPr>
                <w:rFonts w:eastAsia="仿宋_GB2312"/>
                <w:color w:val="000000"/>
                <w:kern w:val="0"/>
                <w:sz w:val="24"/>
              </w:rPr>
              <w:br w:type="textWrapping"/>
            </w:r>
            <w:r>
              <w:rPr>
                <w:rFonts w:eastAsia="仿宋_GB2312"/>
                <w:color w:val="000000"/>
                <w:kern w:val="0"/>
                <w:sz w:val="24"/>
              </w:rPr>
              <w:t xml:space="preserve">   </w:t>
            </w:r>
            <w:r>
              <w:rPr>
                <w:rFonts w:eastAsia="仿宋_GB2312"/>
                <w:b/>
                <w:bCs/>
                <w:color w:val="000000"/>
                <w:kern w:val="0"/>
                <w:sz w:val="24"/>
              </w:rPr>
              <w:t>《律师事务所管理办法》第五条</w:t>
            </w:r>
            <w:r>
              <w:rPr>
                <w:rFonts w:eastAsia="仿宋_GB2312"/>
                <w:color w:val="000000"/>
                <w:kern w:val="0"/>
                <w:sz w:val="24"/>
              </w:rPr>
              <w:t>　司法行政机关依照《律师法》和本办法的规定对律师事务所进行监督、指导。律师协会依照《律师法》、协会章程和行业规范，对律师事务所实行行业自律。司法行政机关、律师协会应当结合监督管理职责，加强对律师行业党的建设的指导。</w:t>
            </w:r>
            <w:r>
              <w:rPr>
                <w:rFonts w:eastAsia="仿宋_GB2312"/>
                <w:b/>
                <w:bCs/>
                <w:color w:val="000000"/>
                <w:kern w:val="0"/>
                <w:sz w:val="24"/>
              </w:rPr>
              <w:t>第七十一条</w:t>
            </w:r>
            <w:r>
              <w:rPr>
                <w:rFonts w:eastAsia="仿宋_GB2312"/>
                <w:color w:val="000000"/>
                <w:kern w:val="0"/>
                <w:sz w:val="24"/>
              </w:rPr>
              <w:t>　司法行政机关应当加强对实施许可和管理活动的层级监督，按照规定建立有关工作的统计、请示、报告、督办等制度……</w:t>
            </w:r>
            <w:r>
              <w:rPr>
                <w:rFonts w:eastAsia="仿宋_GB2312"/>
                <w:color w:val="000000"/>
                <w:kern w:val="0"/>
                <w:sz w:val="24"/>
              </w:rPr>
              <w:br w:type="textWrapping"/>
            </w:r>
            <w:r>
              <w:rPr>
                <w:rFonts w:eastAsia="仿宋_GB2312"/>
                <w:color w:val="000000"/>
                <w:kern w:val="0"/>
                <w:sz w:val="24"/>
              </w:rPr>
              <w:t xml:space="preserve">   </w:t>
            </w:r>
            <w:r>
              <w:rPr>
                <w:rFonts w:eastAsia="仿宋_GB2312"/>
                <w:b/>
                <w:bCs/>
                <w:color w:val="000000"/>
                <w:kern w:val="0"/>
                <w:sz w:val="24"/>
              </w:rPr>
              <w:t>《律师执业管理办法》第四条</w:t>
            </w:r>
            <w:r>
              <w:rPr>
                <w:rFonts w:eastAsia="仿宋_GB2312"/>
                <w:color w:val="000000"/>
                <w:kern w:val="0"/>
                <w:sz w:val="24"/>
              </w:rPr>
              <w:t>　司法行政机关依照《律师法》和本办法的规定对律师执业进行监督、指导。律师协会依照《律师法》、协会章程和行业规范对律师执业实行行业自律。第</w:t>
            </w:r>
            <w:r>
              <w:rPr>
                <w:rFonts w:eastAsia="仿宋_GB2312"/>
                <w:b/>
                <w:bCs/>
                <w:color w:val="000000"/>
                <w:kern w:val="0"/>
                <w:sz w:val="24"/>
              </w:rPr>
              <w:t>五十五条</w:t>
            </w:r>
            <w:r>
              <w:rPr>
                <w:rFonts w:eastAsia="仿宋_GB2312"/>
                <w:color w:val="000000"/>
                <w:kern w:val="0"/>
                <w:sz w:val="24"/>
              </w:rPr>
              <w:t>　司法行政机关应当加强对实施律师执业许可和日常监督管理活动的层级监督，按照规定建立有关工作的统计、请示、报告、督办等制度。负责律师执业许可实施、律师执业年度考核结果备案或者奖励、处罚的司法行政机关，应当及时将有关许可决定、备案情况、奖惩情况通报下级司法行政机关，并报送上一级司法行政机关。</w:t>
            </w:r>
          </w:p>
        </w:tc>
        <w:tc>
          <w:tcPr>
            <w:tcW w:w="675" w:type="dxa"/>
            <w:vAlign w:val="center"/>
          </w:tcPr>
          <w:p>
            <w:pPr>
              <w:spacing w:line="300" w:lineRule="exact"/>
              <w:jc w:val="center"/>
              <w:rPr>
                <w:rFonts w:eastAsia="仿宋_GB2312"/>
                <w:color w:val="000000"/>
                <w:kern w:val="0"/>
                <w:sz w:val="24"/>
              </w:rPr>
            </w:pPr>
            <w:r>
              <w:rPr>
                <w:rFonts w:eastAsia="仿宋_GB2312"/>
                <w:color w:val="000000"/>
                <w:kern w:val="0"/>
                <w:sz w:val="24"/>
              </w:rPr>
              <w:t>各级司法行政机关</w:t>
            </w:r>
          </w:p>
        </w:tc>
        <w:tc>
          <w:tcPr>
            <w:tcW w:w="812" w:type="dxa"/>
            <w:vAlign w:val="center"/>
          </w:tcPr>
          <w:p>
            <w:pPr>
              <w:spacing w:line="300" w:lineRule="exact"/>
              <w:jc w:val="center"/>
              <w:rPr>
                <w:rFonts w:eastAsia="仿宋_GB2312"/>
                <w:color w:val="000000"/>
                <w:kern w:val="0"/>
                <w:sz w:val="24"/>
              </w:rPr>
            </w:pPr>
            <w:r>
              <w:rPr>
                <w:rFonts w:eastAsia="仿宋_GB2312"/>
                <w:color w:val="000000"/>
                <w:kern w:val="0"/>
                <w:sz w:val="24"/>
              </w:rPr>
              <w:t>律师事务所及其执业人员</w:t>
            </w:r>
          </w:p>
        </w:tc>
        <w:tc>
          <w:tcPr>
            <w:tcW w:w="1463" w:type="dxa"/>
            <w:vAlign w:val="center"/>
          </w:tcPr>
          <w:p>
            <w:pPr>
              <w:spacing w:line="300" w:lineRule="exact"/>
              <w:rPr>
                <w:rFonts w:eastAsia="仿宋_GB2312"/>
                <w:color w:val="000000"/>
                <w:kern w:val="0"/>
                <w:sz w:val="24"/>
              </w:rPr>
            </w:pPr>
            <w:r>
              <w:rPr>
                <w:rFonts w:eastAsia="仿宋_GB2312"/>
                <w:color w:val="000000"/>
                <w:kern w:val="0"/>
                <w:sz w:val="24"/>
              </w:rPr>
              <w:t>1.律师事务所业务开展情况；</w:t>
            </w:r>
          </w:p>
          <w:p>
            <w:pPr>
              <w:spacing w:line="300" w:lineRule="exact"/>
              <w:rPr>
                <w:b/>
                <w:color w:val="000000"/>
                <w:kern w:val="0"/>
                <w:sz w:val="36"/>
                <w:szCs w:val="36"/>
              </w:rPr>
            </w:pPr>
            <w:r>
              <w:rPr>
                <w:rFonts w:eastAsia="仿宋_GB2312"/>
                <w:color w:val="000000"/>
                <w:kern w:val="0"/>
                <w:sz w:val="24"/>
              </w:rPr>
              <w:t>2.律师执业情况；</w:t>
            </w:r>
            <w:r>
              <w:rPr>
                <w:rFonts w:eastAsia="仿宋_GB2312"/>
                <w:color w:val="000000"/>
                <w:kern w:val="0"/>
                <w:sz w:val="24"/>
              </w:rPr>
              <w:br w:type="textWrapping"/>
            </w:r>
            <w:r>
              <w:rPr>
                <w:rFonts w:eastAsia="仿宋_GB2312"/>
                <w:color w:val="000000"/>
                <w:kern w:val="0"/>
                <w:sz w:val="24"/>
              </w:rPr>
              <w:t>3.遵守执业规则、职业道德和职业纪律的情况；</w:t>
            </w:r>
            <w:r>
              <w:rPr>
                <w:rFonts w:eastAsia="仿宋_GB2312"/>
                <w:color w:val="000000"/>
                <w:kern w:val="0"/>
                <w:sz w:val="24"/>
              </w:rPr>
              <w:br w:type="textWrapping"/>
            </w:r>
            <w:r>
              <w:rPr>
                <w:rFonts w:eastAsia="仿宋_GB2312"/>
                <w:color w:val="000000"/>
                <w:kern w:val="0"/>
                <w:sz w:val="24"/>
              </w:rPr>
              <w:t>4.法律、法规、规章和上级机关规定的其他监督检查事项.</w:t>
            </w:r>
          </w:p>
        </w:tc>
        <w:tc>
          <w:tcPr>
            <w:tcW w:w="703" w:type="dxa"/>
            <w:vAlign w:val="center"/>
          </w:tcPr>
          <w:p>
            <w:pPr>
              <w:spacing w:line="300" w:lineRule="exact"/>
              <w:jc w:val="center"/>
              <w:rPr>
                <w:b/>
                <w:color w:val="000000"/>
                <w:kern w:val="0"/>
                <w:sz w:val="36"/>
                <w:szCs w:val="36"/>
              </w:rPr>
            </w:pPr>
            <w:r>
              <w:rPr>
                <w:rFonts w:eastAsia="仿宋_GB2312"/>
                <w:color w:val="000000"/>
                <w:kern w:val="0"/>
                <w:sz w:val="24"/>
              </w:rPr>
              <w:t>现场检查与书面检查</w:t>
            </w:r>
          </w:p>
        </w:tc>
      </w:tr>
    </w:tbl>
    <w:p>
      <w:bookmarkStart w:id="0" w:name="_GoBack"/>
      <w:bookmarkEnd w:id="0"/>
    </w:p>
    <w:sectPr>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bordersDoNotSurroundHeader w:val="1"/>
  <w:bordersDoNotSurroundFooter w:val="1"/>
  <w:gutterAtTop/>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76429"/>
    <w:rsid w:val="0CEE69EB"/>
    <w:rsid w:val="5E91438D"/>
    <w:rsid w:val="7CF76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2019-08-16T03:08:00Z</dcterms:created>
  <dc:creator>戴小事:)</dc:creator>
  <cp:lastModifiedBy>戴小事:)</cp:lastModifiedBy>
  <dcterms:modified xsi:type="dcterms:W3CDTF">2019-08-16T03:11:46Z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