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00" w:lineRule="exact"/>
        <w:rPr>
          <w:rFonts w:ascii="黑体" w:eastAsia="黑体"/>
          <w:b/>
          <w:color w:val="000000"/>
          <w:sz w:val="28"/>
          <w:szCs w:val="28"/>
        </w:rPr>
      </w:pPr>
    </w:p>
    <w:p>
      <w:pPr>
        <w:spacing w:afterLines="100" w:line="500" w:lineRule="exact"/>
        <w:rPr>
          <w:rFonts w:ascii="黑体" w:eastAsia="黑体"/>
          <w:b/>
          <w:color w:val="000000"/>
          <w:sz w:val="28"/>
          <w:szCs w:val="28"/>
        </w:rPr>
      </w:pPr>
    </w:p>
    <w:p>
      <w:pPr>
        <w:jc w:val="center"/>
        <w:rPr>
          <w:rFonts w:ascii="方正大标宋简体" w:eastAsia="方正大标宋简体"/>
          <w:color w:val="000000"/>
          <w:sz w:val="80"/>
          <w:szCs w:val="80"/>
        </w:rPr>
      </w:pPr>
      <w:r>
        <w:rPr>
          <w:rFonts w:hint="eastAsia" w:ascii="方正大标宋简体" w:eastAsia="方正大标宋简体"/>
          <w:color w:val="000000"/>
          <w:sz w:val="80"/>
          <w:szCs w:val="80"/>
        </w:rPr>
        <w:t>湖南省优秀律师事务所</w:t>
      </w:r>
    </w:p>
    <w:p>
      <w:pPr>
        <w:jc w:val="center"/>
        <w:rPr>
          <w:rFonts w:ascii="方正大标宋简体" w:eastAsia="方正大标宋简体"/>
          <w:color w:val="000000"/>
          <w:sz w:val="80"/>
          <w:szCs w:val="80"/>
        </w:rPr>
      </w:pPr>
      <w:r>
        <w:rPr>
          <w:rFonts w:hint="eastAsia" w:ascii="方正大标宋简体" w:eastAsia="方正大标宋简体"/>
          <w:color w:val="000000"/>
          <w:sz w:val="80"/>
          <w:szCs w:val="80"/>
        </w:rPr>
        <w:t>申请报告书</w:t>
      </w: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宋体" w:hAnsi="宋体"/>
          <w:color w:val="000000"/>
          <w:sz w:val="52"/>
          <w:szCs w:val="52"/>
        </w:rPr>
      </w:pPr>
    </w:p>
    <w:p>
      <w:pPr>
        <w:snapToGrid w:val="0"/>
        <w:spacing w:line="620" w:lineRule="exact"/>
        <w:jc w:val="center"/>
        <w:rPr>
          <w:rFonts w:ascii="黑体" w:hAnsi="宋体" w:eastAsia="黑体"/>
          <w:color w:val="000000"/>
          <w:sz w:val="36"/>
          <w:szCs w:val="36"/>
        </w:rPr>
        <w:sectPr>
          <w:footerReference r:id="rId3" w:type="default"/>
          <w:footerReference r:id="rId4" w:type="even"/>
          <w:pgSz w:w="11906" w:h="16838"/>
          <w:pgMar w:top="1871" w:right="1588" w:bottom="1701" w:left="1588" w:header="851" w:footer="1191" w:gutter="0"/>
          <w:pgNumType w:start="1"/>
          <w:cols w:space="720" w:num="1"/>
          <w:docGrid w:type="lines" w:linePitch="312" w:charSpace="0"/>
        </w:sectPr>
      </w:pPr>
      <w:r>
        <w:rPr>
          <w:rFonts w:hint="eastAsia" w:ascii="黑体" w:hAnsi="宋体" w:eastAsia="黑体"/>
          <w:color w:val="000000"/>
          <w:sz w:val="36"/>
          <w:szCs w:val="36"/>
        </w:rPr>
        <w:t>律师事务所（盖章）</w:t>
      </w:r>
    </w:p>
    <w:p>
      <w:pPr>
        <w:spacing w:line="600" w:lineRule="exact"/>
        <w:jc w:val="center"/>
        <w:rPr>
          <w:rFonts w:ascii="方正小标宋简体" w:eastAsia="方正小标宋简体"/>
          <w:color w:val="000000"/>
          <w:sz w:val="44"/>
          <w:szCs w:val="44"/>
        </w:rPr>
      </w:pPr>
      <w:r>
        <w:rPr>
          <w:rFonts w:hint="eastAsia" w:ascii="方正小标宋简体" w:hAnsi="宋体" w:eastAsia="方正小标宋简体"/>
          <w:color w:val="000000"/>
          <w:spacing w:val="10"/>
          <w:sz w:val="44"/>
          <w:szCs w:val="44"/>
        </w:rPr>
        <w:t>材料目录</w:t>
      </w:r>
    </w:p>
    <w:p>
      <w:pPr>
        <w:spacing w:line="600" w:lineRule="exact"/>
        <w:ind w:firstLine="640" w:firstLineChars="200"/>
        <w:rPr>
          <w:rFonts w:ascii="仿宋_GB2312" w:eastAsia="仿宋_GB2312"/>
          <w:color w:val="000000"/>
          <w:sz w:val="32"/>
          <w:szCs w:val="32"/>
        </w:rPr>
      </w:pPr>
    </w:p>
    <w:p>
      <w:pPr>
        <w:ind w:firstLine="640" w:firstLineChars="200"/>
        <w:rPr>
          <w:rFonts w:ascii="仿宋_GB2312" w:eastAsia="仿宋_GB2312"/>
          <w:sz w:val="32"/>
          <w:szCs w:val="32"/>
        </w:rPr>
      </w:pPr>
      <w:r>
        <w:rPr>
          <w:rFonts w:hint="eastAsia" w:ascii="仿宋_GB2312" w:eastAsia="仿宋_GB2312"/>
          <w:sz w:val="32"/>
          <w:szCs w:val="32"/>
        </w:rPr>
        <w:t>1.《湖南省优秀律师事务所推荐表》。</w:t>
      </w:r>
    </w:p>
    <w:p>
      <w:pPr>
        <w:ind w:firstLine="640" w:firstLineChars="200"/>
        <w:rPr>
          <w:rFonts w:ascii="仿宋_GB2312" w:eastAsia="仿宋_GB2312"/>
          <w:sz w:val="32"/>
          <w:szCs w:val="32"/>
        </w:rPr>
      </w:pPr>
      <w:r>
        <w:rPr>
          <w:rFonts w:hint="eastAsia" w:ascii="仿宋_GB2312" w:eastAsia="仿宋_GB2312"/>
          <w:sz w:val="32"/>
          <w:szCs w:val="32"/>
        </w:rPr>
        <w:t>2.候选优秀律师事务所事迹材料（事迹材料要通过具体案例、事实以及具体数据等，真实反映律师事务所服务经济社会发展，推进法治建设取得的突出成绩。要求包括开展党建工作和党组织发挥作用情况、参与律师调解、法律援助、扶贫攻坚等活动情况和律师事务所履行重大事项报告制度情况等，并须附电子文档及联系方式）。</w:t>
      </w:r>
    </w:p>
    <w:p>
      <w:pPr>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bCs/>
          <w:kern w:val="0"/>
          <w:sz w:val="32"/>
          <w:szCs w:val="32"/>
        </w:rPr>
        <w:t>律师事务所2012-2018年年度考核结果合格的</w:t>
      </w:r>
      <w:r>
        <w:rPr>
          <w:rFonts w:hint="eastAsia" w:ascii="仿宋_GB2312" w:eastAsia="仿宋_GB2312"/>
          <w:sz w:val="32"/>
          <w:szCs w:val="32"/>
        </w:rPr>
        <w:t>证明。</w:t>
      </w:r>
    </w:p>
    <w:p>
      <w:pPr>
        <w:ind w:firstLine="640" w:firstLineChars="200"/>
        <w:rPr>
          <w:rFonts w:ascii="仿宋_GB2312" w:eastAsia="仿宋_GB2312"/>
          <w:sz w:val="32"/>
          <w:szCs w:val="32"/>
        </w:rPr>
      </w:pPr>
      <w:r>
        <w:rPr>
          <w:rFonts w:hint="eastAsia" w:ascii="仿宋_GB2312" w:eastAsia="仿宋_GB2312"/>
          <w:sz w:val="32"/>
          <w:szCs w:val="32"/>
        </w:rPr>
        <w:t>4.市州司法局、省直会员所管委会出具的律师事务所和律师2012－2018年未受到行政处罚的证明；律师协会出具的律师事务所和律师2012－2018年未受到行业惩戒和无有效投诉记录的证明。</w:t>
      </w:r>
    </w:p>
    <w:p>
      <w:pPr>
        <w:ind w:firstLine="640" w:firstLineChars="200"/>
        <w:rPr>
          <w:rFonts w:ascii="仿宋_GB2312" w:eastAsia="仿宋_GB2312"/>
          <w:sz w:val="32"/>
          <w:szCs w:val="32"/>
        </w:rPr>
      </w:pPr>
      <w:r>
        <w:rPr>
          <w:rFonts w:hint="eastAsia" w:ascii="仿宋_GB2312" w:eastAsia="仿宋_GB2312"/>
          <w:sz w:val="32"/>
          <w:szCs w:val="32"/>
        </w:rPr>
        <w:t>5.党支部成立批文，支部会议记录，发展新党员记录。</w:t>
      </w:r>
    </w:p>
    <w:p>
      <w:pPr>
        <w:ind w:firstLine="640" w:firstLineChars="200"/>
        <w:rPr>
          <w:rFonts w:ascii="仿宋_GB2312" w:eastAsia="仿宋_GB2312"/>
          <w:sz w:val="32"/>
          <w:szCs w:val="32"/>
        </w:rPr>
      </w:pPr>
      <w:r>
        <w:rPr>
          <w:rFonts w:hint="eastAsia" w:ascii="仿宋_GB2312" w:eastAsia="仿宋_GB2312"/>
          <w:sz w:val="32"/>
          <w:szCs w:val="32"/>
        </w:rPr>
        <w:t>6.律师事务所和该所律师2</w:t>
      </w:r>
      <w:r>
        <w:rPr>
          <w:rFonts w:ascii="仿宋_GB2312" w:eastAsia="仿宋_GB2312"/>
          <w:sz w:val="32"/>
          <w:szCs w:val="32"/>
        </w:rPr>
        <w:t>01</w:t>
      </w:r>
      <w:r>
        <w:rPr>
          <w:rFonts w:hint="eastAsia" w:ascii="仿宋_GB2312" w:eastAsia="仿宋_GB2312"/>
          <w:sz w:val="32"/>
          <w:szCs w:val="32"/>
        </w:rPr>
        <w:t>2</w:t>
      </w:r>
      <w:r>
        <w:rPr>
          <w:rFonts w:ascii="仿宋_GB2312" w:eastAsia="仿宋_GB2312"/>
          <w:sz w:val="32"/>
          <w:szCs w:val="32"/>
        </w:rPr>
        <w:t>-2018年</w:t>
      </w:r>
      <w:r>
        <w:rPr>
          <w:rFonts w:hint="eastAsia" w:ascii="仿宋_GB2312" w:eastAsia="仿宋_GB2312"/>
          <w:sz w:val="32"/>
          <w:szCs w:val="32"/>
        </w:rPr>
        <w:t>所获表彰复印件或奖励证明文件。</w:t>
      </w:r>
    </w:p>
    <w:p>
      <w:pPr>
        <w:ind w:firstLine="640" w:firstLineChars="200"/>
        <w:rPr>
          <w:rFonts w:ascii="仿宋_GB2312" w:eastAsia="仿宋_GB2312"/>
          <w:sz w:val="32"/>
          <w:szCs w:val="32"/>
        </w:rPr>
      </w:pPr>
      <w:r>
        <w:rPr>
          <w:rFonts w:hint="eastAsia" w:ascii="仿宋_GB2312" w:eastAsia="仿宋_GB2312"/>
          <w:sz w:val="32"/>
          <w:szCs w:val="32"/>
        </w:rPr>
        <w:t>7.申报材料真实承诺书。</w:t>
      </w:r>
    </w:p>
    <w:p>
      <w:pPr>
        <w:jc w:val="center"/>
        <w:rPr>
          <w:rFonts w:ascii="方正小标宋简体" w:hAnsi="宋体" w:eastAsia="方正小标宋简体"/>
          <w:color w:val="000000"/>
          <w:spacing w:val="10"/>
          <w:sz w:val="44"/>
          <w:szCs w:val="44"/>
        </w:rPr>
      </w:pPr>
    </w:p>
    <w:p>
      <w:pPr>
        <w:jc w:val="center"/>
        <w:rPr>
          <w:rFonts w:ascii="方正小标宋简体" w:hAnsi="宋体" w:eastAsia="方正小标宋简体"/>
          <w:color w:val="000000"/>
          <w:spacing w:val="10"/>
          <w:sz w:val="44"/>
          <w:szCs w:val="44"/>
        </w:rPr>
      </w:pPr>
    </w:p>
    <w:p>
      <w:pPr>
        <w:jc w:val="center"/>
        <w:rPr>
          <w:rFonts w:ascii="方正小标宋简体" w:hAnsi="宋体" w:eastAsia="方正小标宋简体"/>
          <w:color w:val="000000"/>
          <w:spacing w:val="10"/>
          <w:sz w:val="44"/>
          <w:szCs w:val="44"/>
        </w:rPr>
      </w:pPr>
      <w:r>
        <w:rPr>
          <w:rFonts w:hint="eastAsia" w:ascii="方正小标宋简体" w:hAnsi="宋体" w:eastAsia="方正小标宋简体"/>
          <w:color w:val="000000"/>
          <w:spacing w:val="10"/>
          <w:sz w:val="44"/>
          <w:szCs w:val="44"/>
        </w:rPr>
        <w:t>湖南省优秀律师事务所推荐表</w:t>
      </w:r>
    </w:p>
    <w:p>
      <w:pPr>
        <w:spacing w:line="140" w:lineRule="exact"/>
        <w:jc w:val="center"/>
        <w:rPr>
          <w:rFonts w:ascii="方正小标宋简体" w:hAnsi="宋体" w:eastAsia="方正小标宋简体"/>
          <w:color w:val="000000"/>
          <w:spacing w:val="10"/>
          <w:sz w:val="40"/>
          <w:szCs w:val="36"/>
        </w:rPr>
      </w:pPr>
    </w:p>
    <w:p>
      <w:pPr>
        <w:spacing w:line="140" w:lineRule="exact"/>
        <w:rPr>
          <w:rFonts w:ascii="方正小标宋简体" w:hAnsi="宋体" w:eastAsia="方正小标宋简体"/>
          <w:color w:val="000000"/>
          <w:spacing w:val="10"/>
          <w:sz w:val="40"/>
          <w:szCs w:val="36"/>
        </w:rPr>
      </w:pPr>
    </w:p>
    <w:p>
      <w:pPr>
        <w:spacing w:afterLines="50"/>
        <w:rPr>
          <w:rFonts w:ascii="仿宋_GB2312" w:eastAsia="仿宋_GB2312"/>
          <w:color w:val="000000"/>
          <w:sz w:val="32"/>
          <w:szCs w:val="32"/>
        </w:rPr>
      </w:pPr>
      <w:r>
        <w:rPr>
          <w:rFonts w:hint="eastAsia" w:ascii="宋体" w:hAnsi="宋体"/>
          <w:color w:val="000000"/>
          <w:sz w:val="24"/>
        </w:rPr>
        <w:t>______________</w:t>
      </w:r>
      <w:r>
        <w:rPr>
          <w:rFonts w:hint="eastAsia" w:ascii="仿宋_GB2312" w:eastAsia="仿宋_GB2312"/>
          <w:color w:val="000000"/>
          <w:sz w:val="32"/>
          <w:szCs w:val="32"/>
        </w:rPr>
        <w:t>律师协会           填表日期    年  月  日</w:t>
      </w:r>
    </w:p>
    <w:tbl>
      <w:tblPr>
        <w:tblStyle w:val="5"/>
        <w:tblW w:w="894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1453"/>
        <w:gridCol w:w="716"/>
        <w:gridCol w:w="2102"/>
        <w:gridCol w:w="1872"/>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01" w:type="dxa"/>
            <w:gridSpan w:val="2"/>
            <w:noWrap/>
          </w:tcPr>
          <w:p>
            <w:pPr>
              <w:jc w:val="center"/>
              <w:rPr>
                <w:rFonts w:ascii="仿宋_GB2312" w:eastAsia="仿宋_GB2312"/>
                <w:color w:val="000000"/>
                <w:sz w:val="32"/>
                <w:szCs w:val="32"/>
              </w:rPr>
            </w:pPr>
            <w:r>
              <w:rPr>
                <w:rFonts w:hint="eastAsia" w:ascii="仿宋_GB2312" w:eastAsia="仿宋_GB2312"/>
                <w:color w:val="000000"/>
                <w:sz w:val="32"/>
                <w:szCs w:val="32"/>
              </w:rPr>
              <w:t>名  称</w:t>
            </w:r>
          </w:p>
        </w:tc>
        <w:tc>
          <w:tcPr>
            <w:tcW w:w="2818" w:type="dxa"/>
            <w:gridSpan w:val="2"/>
            <w:noWrap/>
          </w:tcPr>
          <w:p>
            <w:pPr>
              <w:jc w:val="center"/>
              <w:rPr>
                <w:rFonts w:ascii="仿宋_GB2312" w:eastAsia="仿宋_GB2312"/>
                <w:color w:val="000000"/>
                <w:sz w:val="32"/>
                <w:szCs w:val="32"/>
              </w:rPr>
            </w:pPr>
          </w:p>
        </w:tc>
        <w:tc>
          <w:tcPr>
            <w:tcW w:w="1872" w:type="dxa"/>
            <w:noWrap/>
          </w:tcPr>
          <w:p>
            <w:pPr>
              <w:jc w:val="center"/>
              <w:rPr>
                <w:rFonts w:ascii="仿宋_GB2312" w:eastAsia="仿宋_GB2312"/>
                <w:color w:val="000000"/>
                <w:sz w:val="32"/>
                <w:szCs w:val="32"/>
              </w:rPr>
            </w:pPr>
            <w:r>
              <w:rPr>
                <w:rFonts w:hint="eastAsia" w:ascii="仿宋_GB2312" w:eastAsia="仿宋_GB2312"/>
                <w:color w:val="000000"/>
                <w:sz w:val="32"/>
                <w:szCs w:val="32"/>
              </w:rPr>
              <w:t>负责人</w:t>
            </w:r>
          </w:p>
        </w:tc>
        <w:tc>
          <w:tcPr>
            <w:tcW w:w="1755" w:type="dxa"/>
            <w:noWrap/>
          </w:tcPr>
          <w:p>
            <w:pPr>
              <w:rPr>
                <w:rFonts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01" w:type="dxa"/>
            <w:gridSpan w:val="2"/>
            <w:noWrap/>
          </w:tcPr>
          <w:p>
            <w:pPr>
              <w:jc w:val="center"/>
              <w:rPr>
                <w:rFonts w:ascii="仿宋_GB2312" w:eastAsia="仿宋_GB2312"/>
                <w:color w:val="000000"/>
                <w:sz w:val="32"/>
                <w:szCs w:val="32"/>
              </w:rPr>
            </w:pPr>
            <w:r>
              <w:rPr>
                <w:rFonts w:hint="eastAsia" w:ascii="仿宋_GB2312" w:eastAsia="仿宋_GB2312"/>
                <w:color w:val="000000"/>
                <w:sz w:val="32"/>
                <w:szCs w:val="32"/>
              </w:rPr>
              <w:t>组织形式</w:t>
            </w:r>
          </w:p>
        </w:tc>
        <w:tc>
          <w:tcPr>
            <w:tcW w:w="2818" w:type="dxa"/>
            <w:gridSpan w:val="2"/>
            <w:noWrap/>
          </w:tcPr>
          <w:p>
            <w:pPr>
              <w:jc w:val="center"/>
              <w:rPr>
                <w:rFonts w:ascii="仿宋_GB2312" w:eastAsia="仿宋_GB2312"/>
                <w:color w:val="000000"/>
                <w:sz w:val="32"/>
                <w:szCs w:val="32"/>
              </w:rPr>
            </w:pPr>
          </w:p>
        </w:tc>
        <w:tc>
          <w:tcPr>
            <w:tcW w:w="1872" w:type="dxa"/>
            <w:noWrap/>
          </w:tcPr>
          <w:p>
            <w:pPr>
              <w:jc w:val="center"/>
              <w:rPr>
                <w:rFonts w:ascii="仿宋_GB2312" w:eastAsia="仿宋_GB2312"/>
                <w:color w:val="000000"/>
                <w:sz w:val="32"/>
                <w:szCs w:val="32"/>
              </w:rPr>
            </w:pPr>
            <w:r>
              <w:rPr>
                <w:rFonts w:hint="eastAsia" w:ascii="仿宋_GB2312" w:eastAsia="仿宋_GB2312"/>
                <w:color w:val="000000"/>
                <w:sz w:val="32"/>
                <w:szCs w:val="32"/>
              </w:rPr>
              <w:t>律师人数</w:t>
            </w:r>
          </w:p>
        </w:tc>
        <w:tc>
          <w:tcPr>
            <w:tcW w:w="1755" w:type="dxa"/>
            <w:noWrap/>
          </w:tcPr>
          <w:p>
            <w:pPr>
              <w:rPr>
                <w:rFonts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01" w:type="dxa"/>
            <w:gridSpan w:val="2"/>
            <w:noWrap/>
          </w:tcPr>
          <w:p>
            <w:pPr>
              <w:jc w:val="center"/>
              <w:rPr>
                <w:rFonts w:ascii="仿宋_GB2312" w:eastAsia="仿宋_GB2312"/>
                <w:color w:val="000000"/>
                <w:sz w:val="32"/>
                <w:szCs w:val="32"/>
              </w:rPr>
            </w:pPr>
            <w:r>
              <w:rPr>
                <w:rFonts w:hint="eastAsia" w:ascii="仿宋_GB2312" w:eastAsia="仿宋_GB2312"/>
                <w:color w:val="000000"/>
                <w:sz w:val="32"/>
                <w:szCs w:val="32"/>
              </w:rPr>
              <w:t>地  址</w:t>
            </w:r>
          </w:p>
        </w:tc>
        <w:tc>
          <w:tcPr>
            <w:tcW w:w="2818" w:type="dxa"/>
            <w:gridSpan w:val="2"/>
            <w:noWrap/>
          </w:tcPr>
          <w:p>
            <w:pPr>
              <w:jc w:val="center"/>
              <w:rPr>
                <w:rFonts w:ascii="仿宋_GB2312" w:eastAsia="仿宋_GB2312"/>
                <w:color w:val="000000"/>
                <w:sz w:val="32"/>
                <w:szCs w:val="32"/>
              </w:rPr>
            </w:pPr>
          </w:p>
        </w:tc>
        <w:tc>
          <w:tcPr>
            <w:tcW w:w="1872" w:type="dxa"/>
            <w:noWrap/>
          </w:tcPr>
          <w:p>
            <w:pPr>
              <w:jc w:val="center"/>
              <w:rPr>
                <w:rFonts w:ascii="仿宋_GB2312" w:eastAsia="仿宋_GB2312"/>
                <w:color w:val="000000"/>
                <w:sz w:val="32"/>
                <w:szCs w:val="32"/>
              </w:rPr>
            </w:pPr>
            <w:r>
              <w:rPr>
                <w:rFonts w:hint="eastAsia" w:ascii="仿宋_GB2312" w:eastAsia="仿宋_GB2312"/>
                <w:color w:val="000000"/>
                <w:sz w:val="32"/>
                <w:szCs w:val="32"/>
              </w:rPr>
              <w:t>邮  编</w:t>
            </w:r>
          </w:p>
        </w:tc>
        <w:tc>
          <w:tcPr>
            <w:tcW w:w="1755" w:type="dxa"/>
            <w:noWrap/>
          </w:tcPr>
          <w:p>
            <w:pPr>
              <w:rPr>
                <w:rFonts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01" w:type="dxa"/>
            <w:gridSpan w:val="2"/>
            <w:noWrap/>
          </w:tcPr>
          <w:p>
            <w:pPr>
              <w:jc w:val="center"/>
              <w:rPr>
                <w:rFonts w:ascii="仿宋_GB2312" w:eastAsia="仿宋_GB2312"/>
                <w:color w:val="000000"/>
                <w:sz w:val="32"/>
                <w:szCs w:val="32"/>
              </w:rPr>
            </w:pPr>
            <w:r>
              <w:rPr>
                <w:rFonts w:hint="eastAsia" w:ascii="仿宋_GB2312" w:eastAsia="仿宋_GB2312"/>
                <w:color w:val="000000"/>
                <w:sz w:val="32"/>
                <w:szCs w:val="32"/>
              </w:rPr>
              <w:t>电  话</w:t>
            </w:r>
          </w:p>
        </w:tc>
        <w:tc>
          <w:tcPr>
            <w:tcW w:w="2818" w:type="dxa"/>
            <w:gridSpan w:val="2"/>
            <w:noWrap/>
          </w:tcPr>
          <w:p>
            <w:pPr>
              <w:jc w:val="center"/>
              <w:rPr>
                <w:rFonts w:ascii="仿宋_GB2312" w:eastAsia="仿宋_GB2312"/>
                <w:color w:val="000000"/>
                <w:sz w:val="32"/>
                <w:szCs w:val="32"/>
              </w:rPr>
            </w:pPr>
          </w:p>
        </w:tc>
        <w:tc>
          <w:tcPr>
            <w:tcW w:w="1872" w:type="dxa"/>
            <w:noWrap/>
          </w:tcPr>
          <w:p>
            <w:pPr>
              <w:jc w:val="center"/>
              <w:rPr>
                <w:rFonts w:ascii="仿宋_GB2312" w:eastAsia="仿宋_GB2312"/>
                <w:color w:val="000000"/>
                <w:sz w:val="32"/>
                <w:szCs w:val="32"/>
              </w:rPr>
            </w:pPr>
            <w:r>
              <w:rPr>
                <w:rFonts w:hint="eastAsia" w:ascii="仿宋_GB2312" w:eastAsia="仿宋_GB2312"/>
                <w:color w:val="000000"/>
                <w:sz w:val="32"/>
                <w:szCs w:val="32"/>
              </w:rPr>
              <w:t>邮  箱</w:t>
            </w:r>
          </w:p>
        </w:tc>
        <w:tc>
          <w:tcPr>
            <w:tcW w:w="1755" w:type="dxa"/>
            <w:noWrap/>
          </w:tcPr>
          <w:p>
            <w:pPr>
              <w:rPr>
                <w:rFonts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17" w:type="dxa"/>
            <w:gridSpan w:val="3"/>
            <w:noWrap/>
          </w:tcPr>
          <w:p>
            <w:pPr>
              <w:jc w:val="center"/>
              <w:rPr>
                <w:rFonts w:ascii="仿宋_GB2312" w:eastAsia="仿宋_GB2312"/>
                <w:color w:val="000000"/>
                <w:sz w:val="32"/>
                <w:szCs w:val="32"/>
              </w:rPr>
            </w:pPr>
            <w:r>
              <w:rPr>
                <w:rFonts w:hint="eastAsia" w:ascii="仿宋_GB2312" w:eastAsia="仿宋_GB2312"/>
                <w:color w:val="000000"/>
                <w:sz w:val="32"/>
                <w:szCs w:val="32"/>
              </w:rPr>
              <w:t>律师事务所网址</w:t>
            </w:r>
          </w:p>
        </w:tc>
        <w:tc>
          <w:tcPr>
            <w:tcW w:w="5729" w:type="dxa"/>
            <w:gridSpan w:val="3"/>
            <w:noWrap/>
          </w:tcPr>
          <w:p>
            <w:pPr>
              <w:rPr>
                <w:rFonts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2" w:hRule="atLeast"/>
          <w:jc w:val="center"/>
        </w:trPr>
        <w:tc>
          <w:tcPr>
            <w:tcW w:w="1048" w:type="dxa"/>
            <w:noWrap/>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主要事迹</w:t>
            </w:r>
          </w:p>
        </w:tc>
        <w:tc>
          <w:tcPr>
            <w:tcW w:w="7898" w:type="dxa"/>
            <w:gridSpan w:val="5"/>
            <w:noWrap/>
          </w:tcPr>
          <w:p>
            <w:pPr>
              <w:tabs>
                <w:tab w:val="left" w:pos="736"/>
              </w:tabs>
              <w:spacing w:line="500" w:lineRule="exact"/>
              <w:rPr>
                <w:rFonts w:ascii="仿宋_GB2312" w:eastAsia="仿宋_GB2312"/>
                <w:color w:val="000000"/>
                <w:sz w:val="32"/>
                <w:szCs w:val="32"/>
              </w:rPr>
            </w:pPr>
          </w:p>
          <w:p>
            <w:pPr>
              <w:tabs>
                <w:tab w:val="left" w:pos="736"/>
              </w:tabs>
              <w:spacing w:line="500" w:lineRule="exact"/>
              <w:rPr>
                <w:rFonts w:ascii="仿宋_GB2312" w:eastAsia="仿宋_GB2312"/>
                <w:color w:val="000000"/>
                <w:sz w:val="32"/>
                <w:szCs w:val="32"/>
              </w:rPr>
            </w:pPr>
          </w:p>
          <w:p>
            <w:pPr>
              <w:tabs>
                <w:tab w:val="left" w:pos="736"/>
              </w:tabs>
              <w:spacing w:line="500" w:lineRule="exact"/>
              <w:rPr>
                <w:rFonts w:ascii="仿宋_GB2312" w:eastAsia="仿宋_GB2312"/>
                <w:color w:val="000000"/>
                <w:sz w:val="32"/>
                <w:szCs w:val="32"/>
              </w:rPr>
            </w:pPr>
          </w:p>
          <w:p>
            <w:pPr>
              <w:tabs>
                <w:tab w:val="left" w:pos="736"/>
              </w:tabs>
              <w:spacing w:line="500" w:lineRule="exact"/>
              <w:rPr>
                <w:rFonts w:ascii="仿宋_GB2312" w:eastAsia="仿宋_GB2312"/>
                <w:color w:val="000000"/>
                <w:sz w:val="32"/>
                <w:szCs w:val="32"/>
              </w:rPr>
            </w:pPr>
          </w:p>
          <w:p>
            <w:pPr>
              <w:tabs>
                <w:tab w:val="left" w:pos="736"/>
              </w:tabs>
              <w:spacing w:line="500" w:lineRule="exact"/>
              <w:rPr>
                <w:rFonts w:ascii="仿宋_GB2312" w:eastAsia="仿宋_GB2312"/>
                <w:color w:val="000000"/>
                <w:sz w:val="32"/>
                <w:szCs w:val="32"/>
              </w:rPr>
            </w:pPr>
          </w:p>
          <w:p>
            <w:pPr>
              <w:spacing w:line="500" w:lineRule="exact"/>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8" w:hRule="atLeast"/>
          <w:jc w:val="center"/>
        </w:trPr>
        <w:tc>
          <w:tcPr>
            <w:tcW w:w="1048" w:type="dxa"/>
            <w:tcBorders>
              <w:bottom w:val="single" w:color="auto" w:sz="4" w:space="0"/>
            </w:tcBorders>
            <w:noWrap/>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市州律师协会意见</w:t>
            </w:r>
          </w:p>
        </w:tc>
        <w:tc>
          <w:tcPr>
            <w:tcW w:w="7898" w:type="dxa"/>
            <w:gridSpan w:val="5"/>
            <w:tcBorders>
              <w:bottom w:val="single" w:color="auto" w:sz="4" w:space="0"/>
            </w:tcBorders>
            <w:noWrap/>
          </w:tcPr>
          <w:p>
            <w:pPr>
              <w:spacing w:line="460" w:lineRule="exact"/>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5600" w:firstLineChars="1750"/>
              <w:rPr>
                <w:rFonts w:ascii="仿宋_GB2312" w:eastAsia="仿宋_GB2312"/>
                <w:color w:val="000000"/>
                <w:sz w:val="32"/>
                <w:szCs w:val="32"/>
              </w:rPr>
            </w:pPr>
          </w:p>
          <w:p>
            <w:pPr>
              <w:spacing w:line="460" w:lineRule="exact"/>
              <w:ind w:firstLine="5600" w:firstLineChars="1750"/>
              <w:rPr>
                <w:rFonts w:ascii="仿宋_GB2312" w:eastAsia="仿宋_GB2312"/>
                <w:color w:val="000000"/>
                <w:sz w:val="32"/>
                <w:szCs w:val="32"/>
              </w:rPr>
            </w:pPr>
          </w:p>
          <w:p>
            <w:pPr>
              <w:spacing w:line="460" w:lineRule="exact"/>
              <w:ind w:firstLine="5600" w:firstLineChars="1750"/>
              <w:rPr>
                <w:rFonts w:ascii="仿宋_GB2312" w:eastAsia="仿宋_GB2312"/>
                <w:color w:val="000000"/>
                <w:sz w:val="32"/>
                <w:szCs w:val="32"/>
              </w:rPr>
            </w:pPr>
            <w:r>
              <w:rPr>
                <w:rFonts w:hint="eastAsia" w:ascii="仿宋_GB2312" w:eastAsia="仿宋_GB2312"/>
                <w:color w:val="000000"/>
                <w:sz w:val="32"/>
                <w:szCs w:val="32"/>
              </w:rPr>
              <w:t>（盖章）</w:t>
            </w:r>
          </w:p>
          <w:p>
            <w:pPr>
              <w:spacing w:line="500" w:lineRule="exact"/>
              <w:rPr>
                <w:rFonts w:ascii="仿宋_GB2312" w:eastAsia="仿宋_GB2312"/>
                <w:color w:val="000000"/>
                <w:sz w:val="32"/>
                <w:szCs w:val="32"/>
              </w:rPr>
            </w:pPr>
            <w:r>
              <w:rPr>
                <w:rFonts w:hint="eastAsia" w:ascii="仿宋_GB2312" w:eastAsia="仿宋_GB2312"/>
                <w:color w:val="000000"/>
                <w:sz w:val="32"/>
                <w:szCs w:val="3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7" w:hRule="atLeast"/>
          <w:jc w:val="center"/>
        </w:trPr>
        <w:tc>
          <w:tcPr>
            <w:tcW w:w="1048" w:type="dxa"/>
            <w:tcBorders>
              <w:top w:val="single" w:color="auto" w:sz="4" w:space="0"/>
              <w:bottom w:val="single" w:color="auto" w:sz="4" w:space="0"/>
            </w:tcBorders>
            <w:noWrap/>
            <w:vAlign w:val="center"/>
          </w:tcPr>
          <w:p>
            <w:pPr>
              <w:spacing w:line="240" w:lineRule="atLeast"/>
              <w:jc w:val="center"/>
              <w:rPr>
                <w:rFonts w:ascii="仿宋_GB2312" w:eastAsia="仿宋_GB2312"/>
                <w:b/>
                <w:color w:val="000000"/>
                <w:sz w:val="32"/>
                <w:szCs w:val="32"/>
              </w:rPr>
            </w:pPr>
            <w:r>
              <w:rPr>
                <w:rFonts w:hint="eastAsia" w:ascii="仿宋_GB2312" w:eastAsia="仿宋_GB2312"/>
                <w:b/>
                <w:color w:val="000000"/>
                <w:sz w:val="32"/>
                <w:szCs w:val="32"/>
              </w:rPr>
              <w:t>市州律师行业党委意见</w:t>
            </w:r>
          </w:p>
        </w:tc>
        <w:tc>
          <w:tcPr>
            <w:tcW w:w="7898" w:type="dxa"/>
            <w:gridSpan w:val="5"/>
            <w:tcBorders>
              <w:top w:val="single" w:color="auto" w:sz="4" w:space="0"/>
              <w:bottom w:val="single" w:color="auto" w:sz="4" w:space="0"/>
            </w:tcBorders>
            <w:noWrap/>
          </w:tcPr>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5600" w:firstLineChars="1750"/>
              <w:rPr>
                <w:rFonts w:ascii="仿宋_GB2312" w:eastAsia="仿宋_GB2312"/>
                <w:color w:val="000000"/>
                <w:sz w:val="32"/>
                <w:szCs w:val="32"/>
              </w:rPr>
            </w:pPr>
          </w:p>
          <w:p>
            <w:pPr>
              <w:spacing w:line="460" w:lineRule="exact"/>
              <w:ind w:firstLine="5600" w:firstLineChars="1750"/>
              <w:rPr>
                <w:rFonts w:ascii="仿宋_GB2312" w:eastAsia="仿宋_GB2312"/>
                <w:color w:val="000000"/>
                <w:sz w:val="32"/>
                <w:szCs w:val="32"/>
              </w:rPr>
            </w:pPr>
            <w:r>
              <w:rPr>
                <w:rFonts w:hint="eastAsia" w:ascii="仿宋_GB2312" w:eastAsia="仿宋_GB2312"/>
                <w:color w:val="000000"/>
                <w:sz w:val="32"/>
                <w:szCs w:val="32"/>
              </w:rPr>
              <w:t>（盖章）</w:t>
            </w:r>
          </w:p>
          <w:p>
            <w:pPr>
              <w:spacing w:line="500" w:lineRule="exact"/>
              <w:rPr>
                <w:rFonts w:ascii="仿宋_GB2312" w:eastAsia="仿宋_GB2312"/>
                <w:color w:val="000000"/>
                <w:sz w:val="32"/>
                <w:szCs w:val="32"/>
              </w:rPr>
            </w:pPr>
            <w:r>
              <w:rPr>
                <w:rFonts w:hint="eastAsia" w:ascii="仿宋_GB2312" w:eastAsia="仿宋_GB2312"/>
                <w:color w:val="000000"/>
                <w:sz w:val="32"/>
                <w:szCs w:val="3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4" w:hRule="atLeast"/>
          <w:jc w:val="center"/>
        </w:trPr>
        <w:tc>
          <w:tcPr>
            <w:tcW w:w="1048" w:type="dxa"/>
            <w:tcBorders>
              <w:top w:val="single" w:color="auto" w:sz="4" w:space="0"/>
            </w:tcBorders>
            <w:noWrap/>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市州司法局意见</w:t>
            </w:r>
          </w:p>
        </w:tc>
        <w:tc>
          <w:tcPr>
            <w:tcW w:w="7898" w:type="dxa"/>
            <w:gridSpan w:val="5"/>
            <w:tcBorders>
              <w:top w:val="single" w:color="auto" w:sz="4" w:space="0"/>
            </w:tcBorders>
            <w:noWrap/>
          </w:tcPr>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3680" w:firstLineChars="1150"/>
              <w:rPr>
                <w:rFonts w:ascii="仿宋_GB2312" w:eastAsia="仿宋_GB2312"/>
                <w:color w:val="000000"/>
                <w:sz w:val="32"/>
                <w:szCs w:val="32"/>
              </w:rPr>
            </w:pPr>
          </w:p>
          <w:p>
            <w:pPr>
              <w:spacing w:line="460" w:lineRule="exact"/>
              <w:ind w:firstLine="5600" w:firstLineChars="1750"/>
              <w:rPr>
                <w:rFonts w:ascii="仿宋_GB2312" w:eastAsia="仿宋_GB2312"/>
                <w:color w:val="000000"/>
                <w:sz w:val="32"/>
                <w:szCs w:val="32"/>
              </w:rPr>
            </w:pPr>
          </w:p>
          <w:p>
            <w:pPr>
              <w:spacing w:line="460" w:lineRule="exact"/>
              <w:ind w:firstLine="5600" w:firstLineChars="1750"/>
              <w:rPr>
                <w:rFonts w:ascii="仿宋_GB2312" w:eastAsia="仿宋_GB2312"/>
                <w:color w:val="000000"/>
                <w:sz w:val="32"/>
                <w:szCs w:val="32"/>
              </w:rPr>
            </w:pPr>
            <w:r>
              <w:rPr>
                <w:rFonts w:hint="eastAsia" w:ascii="仿宋_GB2312" w:eastAsia="仿宋_GB2312"/>
                <w:color w:val="000000"/>
                <w:sz w:val="32"/>
                <w:szCs w:val="32"/>
              </w:rPr>
              <w:t>（盖章）</w:t>
            </w:r>
          </w:p>
          <w:p>
            <w:pPr>
              <w:spacing w:line="500" w:lineRule="exact"/>
              <w:rPr>
                <w:rFonts w:ascii="仿宋_GB2312" w:eastAsia="仿宋_GB2312"/>
                <w:color w:val="000000"/>
                <w:sz w:val="32"/>
                <w:szCs w:val="32"/>
              </w:rPr>
            </w:pPr>
            <w:r>
              <w:rPr>
                <w:rFonts w:hint="eastAsia" w:ascii="仿宋_GB2312" w:eastAsia="仿宋_GB2312"/>
                <w:color w:val="000000"/>
                <w:sz w:val="32"/>
                <w:szCs w:val="32"/>
              </w:rPr>
              <w:t xml:space="preserve">                                年   月   日</w:t>
            </w:r>
          </w:p>
        </w:tc>
      </w:tr>
    </w:tbl>
    <w:p>
      <w:pPr>
        <w:spacing w:line="300" w:lineRule="exact"/>
        <w:jc w:val="left"/>
        <w:rPr>
          <w:rFonts w:ascii="仿宋_GB2312" w:eastAsia="仿宋_GB2312"/>
          <w:color w:val="000000"/>
          <w:sz w:val="28"/>
          <w:szCs w:val="28"/>
        </w:rPr>
      </w:pPr>
    </w:p>
    <w:p>
      <w:pPr>
        <w:spacing w:line="500" w:lineRule="exact"/>
        <w:jc w:val="left"/>
        <w:rPr>
          <w:rFonts w:ascii="仿宋_GB2312" w:eastAsia="仿宋_GB2312"/>
          <w:color w:val="000000"/>
          <w:sz w:val="28"/>
          <w:szCs w:val="28"/>
        </w:rPr>
      </w:pPr>
      <w:r>
        <w:rPr>
          <w:rFonts w:hint="eastAsia" w:ascii="仿宋_GB2312" w:eastAsia="仿宋_GB2312"/>
          <w:color w:val="000000"/>
          <w:sz w:val="28"/>
          <w:szCs w:val="28"/>
        </w:rPr>
        <w:t>填表说明：“主要事迹”一栏，根据律师事务所事迹材料简要填写。</w:t>
      </w:r>
    </w:p>
    <w:p>
      <w:pPr>
        <w:spacing w:line="460" w:lineRule="exact"/>
        <w:rPr>
          <w:rFonts w:ascii="仿宋_GB2312" w:hAnsi="ˎ̥" w:eastAsia="仿宋_GB2312"/>
          <w:color w:val="000000"/>
          <w:sz w:val="32"/>
          <w:szCs w:val="32"/>
        </w:rPr>
        <w:sectPr>
          <w:pgSz w:w="11906" w:h="16838"/>
          <w:pgMar w:top="1871" w:right="1588" w:bottom="1701" w:left="1588" w:header="851" w:footer="1247" w:gutter="0"/>
          <w:cols w:space="720" w:num="1"/>
          <w:docGrid w:type="lines" w:linePitch="312" w:charSpace="0"/>
        </w:sectPr>
      </w:pPr>
    </w:p>
    <w:p>
      <w:pPr>
        <w:spacing w:line="460" w:lineRule="exact"/>
        <w:rPr>
          <w:rFonts w:ascii="仿宋_GB2312" w:hAnsi="ˎ̥" w:eastAsia="仿宋_GB2312"/>
          <w:color w:val="000000"/>
          <w:sz w:val="32"/>
          <w:szCs w:val="32"/>
        </w:rPr>
      </w:pPr>
    </w:p>
    <w:p>
      <w:pPr>
        <w:spacing w:line="860" w:lineRule="exact"/>
        <w:jc w:val="center"/>
        <w:rPr>
          <w:rFonts w:ascii="黑体" w:eastAsia="黑体"/>
          <w:color w:val="000000"/>
          <w:sz w:val="72"/>
          <w:szCs w:val="72"/>
        </w:rPr>
      </w:pPr>
    </w:p>
    <w:p>
      <w:pPr>
        <w:spacing w:line="860" w:lineRule="exact"/>
        <w:jc w:val="center"/>
        <w:rPr>
          <w:rFonts w:ascii="方正大标宋简体" w:eastAsia="方正大标宋简体"/>
          <w:color w:val="000000"/>
          <w:sz w:val="58"/>
          <w:szCs w:val="60"/>
        </w:rPr>
      </w:pPr>
    </w:p>
    <w:p>
      <w:pPr>
        <w:spacing w:line="860" w:lineRule="exact"/>
        <w:jc w:val="center"/>
        <w:rPr>
          <w:rFonts w:ascii="方正大标宋简体" w:eastAsia="方正大标宋简体"/>
          <w:color w:val="000000"/>
          <w:sz w:val="72"/>
          <w:szCs w:val="72"/>
        </w:rPr>
      </w:pPr>
      <w:r>
        <w:rPr>
          <w:rFonts w:hint="eastAsia" w:ascii="方正大标宋简体" w:eastAsia="方正大标宋简体"/>
          <w:color w:val="000000"/>
          <w:sz w:val="72"/>
          <w:szCs w:val="72"/>
        </w:rPr>
        <w:t>湖南省优秀律师事务所</w:t>
      </w:r>
    </w:p>
    <w:p>
      <w:pPr>
        <w:spacing w:line="860" w:lineRule="exact"/>
        <w:jc w:val="center"/>
        <w:rPr>
          <w:rFonts w:ascii="方正大标宋简体" w:eastAsia="方正大标宋简体"/>
          <w:color w:val="000000"/>
          <w:sz w:val="72"/>
          <w:szCs w:val="72"/>
        </w:rPr>
      </w:pPr>
      <w:r>
        <w:rPr>
          <w:rFonts w:hint="eastAsia" w:ascii="方正大标宋简体" w:eastAsia="方正大标宋简体"/>
          <w:color w:val="000000"/>
          <w:sz w:val="72"/>
          <w:szCs w:val="72"/>
        </w:rPr>
        <w:t>考核评定表</w:t>
      </w:r>
    </w:p>
    <w:p>
      <w:pPr>
        <w:jc w:val="center"/>
        <w:rPr>
          <w:rFonts w:ascii="宋体" w:hAnsi="宋体"/>
          <w:color w:val="000000"/>
          <w:sz w:val="44"/>
          <w:szCs w:val="44"/>
        </w:rPr>
      </w:pPr>
      <w:bookmarkStart w:id="0" w:name="_GoBack"/>
      <w:bookmarkEnd w:id="0"/>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spacing w:line="600" w:lineRule="exact"/>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snapToGrid w:val="0"/>
        <w:spacing w:line="620" w:lineRule="exact"/>
        <w:jc w:val="center"/>
        <w:rPr>
          <w:rFonts w:ascii="黑体" w:hAnsi="宋体" w:eastAsia="黑体"/>
          <w:color w:val="000000"/>
          <w:sz w:val="36"/>
          <w:szCs w:val="36"/>
        </w:rPr>
      </w:pPr>
      <w:r>
        <w:rPr>
          <w:rFonts w:hint="eastAsia" w:ascii="黑体" w:hAnsi="宋体" w:eastAsia="黑体"/>
          <w:color w:val="000000"/>
          <w:sz w:val="36"/>
          <w:szCs w:val="36"/>
          <w:u w:val="single"/>
        </w:rPr>
        <w:t xml:space="preserve">　　　　 </w:t>
      </w:r>
      <w:r>
        <w:rPr>
          <w:rFonts w:hint="eastAsia" w:ascii="黑体" w:hAnsi="宋体" w:eastAsia="黑体"/>
          <w:color w:val="000000"/>
          <w:sz w:val="36"/>
          <w:szCs w:val="36"/>
        </w:rPr>
        <w:t xml:space="preserve"> 律师事务所（盖章）</w:t>
      </w:r>
    </w:p>
    <w:p>
      <w:pPr>
        <w:snapToGrid w:val="0"/>
        <w:spacing w:line="620" w:lineRule="exact"/>
        <w:jc w:val="center"/>
        <w:rPr>
          <w:rFonts w:ascii="黑体" w:hAnsi="宋体" w:eastAsia="黑体"/>
          <w:color w:val="000000"/>
          <w:sz w:val="36"/>
          <w:szCs w:val="36"/>
          <w:u w:val="single"/>
        </w:rPr>
      </w:pPr>
    </w:p>
    <w:p>
      <w:pPr>
        <w:jc w:val="center"/>
        <w:rPr>
          <w:rFonts w:ascii="宋体" w:hAnsi="宋体"/>
          <w:b/>
          <w:color w:val="000000"/>
          <w:sz w:val="44"/>
          <w:szCs w:val="44"/>
        </w:rPr>
      </w:pPr>
    </w:p>
    <w:p>
      <w:pPr>
        <w:jc w:val="center"/>
        <w:rPr>
          <w:rFonts w:ascii="宋体" w:hAnsi="宋体"/>
          <w:b/>
          <w:color w:val="000000"/>
          <w:sz w:val="44"/>
          <w:szCs w:val="44"/>
        </w:rPr>
        <w:sectPr>
          <w:footerReference r:id="rId5" w:type="default"/>
          <w:pgSz w:w="11906" w:h="16838"/>
          <w:pgMar w:top="1871" w:right="1588" w:bottom="1701" w:left="1588" w:header="851" w:footer="1247" w:gutter="0"/>
          <w:pgNumType w:start="1"/>
          <w:cols w:space="720" w:num="1"/>
          <w:docGrid w:type="lines" w:linePitch="312" w:charSpace="0"/>
        </w:sectPr>
      </w:pPr>
    </w:p>
    <w:tbl>
      <w:tblPr>
        <w:tblStyle w:val="5"/>
        <w:tblW w:w="142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
        <w:gridCol w:w="868"/>
        <w:gridCol w:w="5579"/>
        <w:gridCol w:w="836"/>
        <w:gridCol w:w="840"/>
        <w:gridCol w:w="742"/>
        <w:gridCol w:w="4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1384" w:type="dxa"/>
            <w:gridSpan w:val="2"/>
            <w:tcBorders>
              <w:right w:val="single" w:color="auto" w:sz="4" w:space="0"/>
            </w:tcBorders>
            <w:noWrap/>
            <w:vAlign w:val="center"/>
          </w:tcPr>
          <w:p>
            <w:pPr>
              <w:spacing w:beforeLines="50" w:afterLines="50" w:line="280" w:lineRule="exact"/>
              <w:jc w:val="center"/>
              <w:rPr>
                <w:b/>
                <w:color w:val="000000"/>
                <w:sz w:val="24"/>
              </w:rPr>
            </w:pPr>
            <w:r>
              <w:rPr>
                <w:rFonts w:hint="eastAsia"/>
                <w:b/>
                <w:color w:val="000000"/>
                <w:sz w:val="24"/>
              </w:rPr>
              <w:t>项目</w:t>
            </w:r>
          </w:p>
        </w:tc>
        <w:tc>
          <w:tcPr>
            <w:tcW w:w="5579" w:type="dxa"/>
            <w:tcBorders>
              <w:left w:val="single" w:color="auto" w:sz="4" w:space="0"/>
            </w:tcBorders>
            <w:noWrap/>
            <w:vAlign w:val="center"/>
          </w:tcPr>
          <w:p>
            <w:pPr>
              <w:spacing w:beforeLines="50" w:afterLines="50" w:line="280" w:lineRule="exact"/>
              <w:jc w:val="center"/>
              <w:rPr>
                <w:b/>
                <w:color w:val="000000"/>
                <w:sz w:val="24"/>
              </w:rPr>
            </w:pPr>
            <w:r>
              <w:rPr>
                <w:rFonts w:hint="eastAsia"/>
                <w:b/>
                <w:color w:val="000000"/>
                <w:sz w:val="24"/>
              </w:rPr>
              <w:t>考核内容</w:t>
            </w:r>
          </w:p>
        </w:tc>
        <w:tc>
          <w:tcPr>
            <w:tcW w:w="836" w:type="dxa"/>
            <w:noWrap/>
            <w:vAlign w:val="center"/>
          </w:tcPr>
          <w:p>
            <w:pPr>
              <w:spacing w:beforeLines="50" w:afterLines="50" w:line="280" w:lineRule="exact"/>
              <w:ind w:left="-105" w:leftChars="-50" w:right="-105" w:rightChars="-50"/>
              <w:jc w:val="center"/>
              <w:rPr>
                <w:b/>
                <w:color w:val="000000"/>
                <w:sz w:val="24"/>
              </w:rPr>
            </w:pPr>
            <w:r>
              <w:rPr>
                <w:rFonts w:hint="eastAsia"/>
                <w:b/>
                <w:color w:val="000000"/>
                <w:sz w:val="24"/>
              </w:rPr>
              <w:t>标准分</w:t>
            </w:r>
          </w:p>
        </w:tc>
        <w:tc>
          <w:tcPr>
            <w:tcW w:w="840" w:type="dxa"/>
            <w:noWrap/>
            <w:vAlign w:val="center"/>
          </w:tcPr>
          <w:p>
            <w:pPr>
              <w:spacing w:beforeLines="50" w:afterLines="50" w:line="280" w:lineRule="exact"/>
              <w:ind w:left="-105" w:leftChars="-50" w:right="-105" w:rightChars="-50"/>
              <w:jc w:val="center"/>
              <w:rPr>
                <w:b/>
                <w:color w:val="000000"/>
                <w:sz w:val="24"/>
              </w:rPr>
            </w:pPr>
            <w:r>
              <w:rPr>
                <w:rFonts w:hint="eastAsia"/>
                <w:b/>
                <w:color w:val="000000"/>
                <w:sz w:val="24"/>
              </w:rPr>
              <w:t>自评分</w:t>
            </w:r>
          </w:p>
        </w:tc>
        <w:tc>
          <w:tcPr>
            <w:tcW w:w="742" w:type="dxa"/>
            <w:tcBorders>
              <w:right w:val="single" w:color="auto" w:sz="4" w:space="0"/>
            </w:tcBorders>
            <w:noWrap/>
            <w:vAlign w:val="center"/>
          </w:tcPr>
          <w:p>
            <w:pPr>
              <w:spacing w:beforeLines="50" w:afterLines="50" w:line="280" w:lineRule="exact"/>
              <w:ind w:left="-105" w:leftChars="-50" w:right="-105" w:rightChars="-50"/>
              <w:jc w:val="center"/>
              <w:rPr>
                <w:b/>
                <w:color w:val="000000"/>
                <w:sz w:val="24"/>
              </w:rPr>
            </w:pPr>
            <w:r>
              <w:rPr>
                <w:rFonts w:hint="eastAsia"/>
                <w:b/>
                <w:color w:val="000000"/>
                <w:sz w:val="24"/>
              </w:rPr>
              <w:t>复核分</w:t>
            </w:r>
          </w:p>
        </w:tc>
        <w:tc>
          <w:tcPr>
            <w:tcW w:w="4826" w:type="dxa"/>
            <w:tcBorders>
              <w:left w:val="single" w:color="auto" w:sz="4" w:space="0"/>
            </w:tcBorders>
            <w:noWrap/>
            <w:vAlign w:val="center"/>
          </w:tcPr>
          <w:p>
            <w:pPr>
              <w:spacing w:beforeLines="50" w:afterLines="50" w:line="280" w:lineRule="exact"/>
              <w:jc w:val="center"/>
              <w:rPr>
                <w:b/>
                <w:color w:val="000000"/>
                <w:sz w:val="24"/>
              </w:rPr>
            </w:pPr>
            <w:r>
              <w:rPr>
                <w:rFonts w:hint="eastAsia"/>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5" w:hRule="atLeast"/>
        </w:trPr>
        <w:tc>
          <w:tcPr>
            <w:tcW w:w="516" w:type="dxa"/>
            <w:vMerge w:val="restart"/>
            <w:noWrap/>
            <w:vAlign w:val="center"/>
          </w:tcPr>
          <w:p>
            <w:pPr>
              <w:spacing w:line="280" w:lineRule="exact"/>
              <w:rPr>
                <w:color w:val="000000"/>
                <w:sz w:val="24"/>
              </w:rPr>
            </w:pPr>
          </w:p>
          <w:p>
            <w:pPr>
              <w:spacing w:line="280" w:lineRule="exact"/>
              <w:rPr>
                <w:color w:val="000000"/>
                <w:sz w:val="24"/>
              </w:rPr>
            </w:pPr>
          </w:p>
          <w:p>
            <w:pPr>
              <w:spacing w:line="280" w:lineRule="exact"/>
              <w:rPr>
                <w:color w:val="000000"/>
                <w:sz w:val="24"/>
              </w:rPr>
            </w:pPr>
          </w:p>
          <w:p>
            <w:pPr>
              <w:spacing w:line="280" w:lineRule="exact"/>
              <w:rPr>
                <w:color w:val="000000"/>
                <w:sz w:val="24"/>
              </w:rPr>
            </w:pPr>
          </w:p>
          <w:p>
            <w:pPr>
              <w:spacing w:line="280" w:lineRule="exact"/>
              <w:rPr>
                <w:color w:val="000000"/>
                <w:sz w:val="24"/>
              </w:rPr>
            </w:pPr>
          </w:p>
          <w:p>
            <w:pPr>
              <w:spacing w:line="280" w:lineRule="exact"/>
              <w:rPr>
                <w:color w:val="000000"/>
                <w:sz w:val="24"/>
              </w:rPr>
            </w:pPr>
          </w:p>
          <w:p>
            <w:pPr>
              <w:spacing w:line="280" w:lineRule="exact"/>
              <w:rPr>
                <w:color w:val="000000"/>
                <w:sz w:val="24"/>
              </w:rPr>
            </w:pPr>
          </w:p>
          <w:p>
            <w:pPr>
              <w:spacing w:line="280" w:lineRule="exact"/>
              <w:rPr>
                <w:color w:val="000000"/>
                <w:sz w:val="24"/>
              </w:rPr>
            </w:pPr>
          </w:p>
          <w:p>
            <w:pPr>
              <w:spacing w:line="280" w:lineRule="exact"/>
              <w:rPr>
                <w:color w:val="000000"/>
                <w:sz w:val="24"/>
              </w:rPr>
            </w:pPr>
          </w:p>
          <w:p>
            <w:pPr>
              <w:spacing w:line="280" w:lineRule="exact"/>
              <w:jc w:val="center"/>
              <w:rPr>
                <w:color w:val="000000"/>
                <w:sz w:val="24"/>
              </w:rPr>
            </w:pPr>
            <w:r>
              <w:rPr>
                <w:rFonts w:hint="eastAsia"/>
                <w:color w:val="000000"/>
                <w:sz w:val="24"/>
              </w:rPr>
              <w:t>党</w:t>
            </w:r>
          </w:p>
          <w:p>
            <w:pPr>
              <w:spacing w:line="280" w:lineRule="exact"/>
              <w:jc w:val="center"/>
              <w:rPr>
                <w:color w:val="000000"/>
                <w:sz w:val="24"/>
              </w:rPr>
            </w:pPr>
            <w:r>
              <w:rPr>
                <w:rFonts w:hint="eastAsia"/>
                <w:color w:val="000000"/>
                <w:sz w:val="24"/>
              </w:rPr>
              <w:t>建</w:t>
            </w:r>
          </w:p>
          <w:p>
            <w:pPr>
              <w:spacing w:line="280" w:lineRule="exact"/>
              <w:jc w:val="center"/>
              <w:rPr>
                <w:color w:val="000000"/>
                <w:sz w:val="24"/>
              </w:rPr>
            </w:pPr>
            <w:r>
              <w:rPr>
                <w:rFonts w:hint="eastAsia"/>
                <w:color w:val="000000"/>
                <w:sz w:val="24"/>
              </w:rPr>
              <w:t>工</w:t>
            </w:r>
          </w:p>
          <w:p>
            <w:pPr>
              <w:spacing w:line="280" w:lineRule="exact"/>
              <w:jc w:val="center"/>
              <w:rPr>
                <w:color w:val="000000"/>
                <w:sz w:val="24"/>
              </w:rPr>
            </w:pPr>
            <w:r>
              <w:rPr>
                <w:rFonts w:hint="eastAsia"/>
                <w:color w:val="000000"/>
                <w:sz w:val="24"/>
              </w:rPr>
              <w:t>作</w:t>
            </w:r>
          </w:p>
          <w:p>
            <w:pPr>
              <w:spacing w:line="280" w:lineRule="exact"/>
              <w:jc w:val="center"/>
              <w:rPr>
                <w:color w:val="000000"/>
                <w:sz w:val="24"/>
              </w:rPr>
            </w:pPr>
            <w:r>
              <w:rPr>
                <w:color w:val="000000"/>
                <w:sz w:val="24"/>
              </w:rPr>
              <w:t>30</w:t>
            </w:r>
          </w:p>
          <w:p>
            <w:pPr>
              <w:spacing w:line="280" w:lineRule="exact"/>
              <w:jc w:val="center"/>
              <w:rPr>
                <w:color w:val="000000"/>
                <w:sz w:val="24"/>
              </w:rPr>
            </w:pP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党</w:t>
            </w:r>
          </w:p>
          <w:p>
            <w:pPr>
              <w:spacing w:line="280" w:lineRule="exact"/>
              <w:jc w:val="center"/>
              <w:rPr>
                <w:color w:val="000000"/>
                <w:sz w:val="24"/>
              </w:rPr>
            </w:pPr>
            <w:r>
              <w:rPr>
                <w:rFonts w:hint="eastAsia"/>
                <w:color w:val="000000"/>
                <w:sz w:val="24"/>
              </w:rPr>
              <w:t>建</w:t>
            </w:r>
          </w:p>
          <w:p>
            <w:pPr>
              <w:spacing w:line="280" w:lineRule="exact"/>
              <w:jc w:val="center"/>
              <w:rPr>
                <w:color w:val="000000"/>
                <w:sz w:val="24"/>
              </w:rPr>
            </w:pPr>
            <w:r>
              <w:rPr>
                <w:rFonts w:hint="eastAsia"/>
                <w:color w:val="000000"/>
                <w:sz w:val="24"/>
              </w:rPr>
              <w:t>工</w:t>
            </w:r>
          </w:p>
          <w:p>
            <w:pPr>
              <w:spacing w:line="280" w:lineRule="exact"/>
              <w:jc w:val="center"/>
              <w:rPr>
                <w:color w:val="000000"/>
                <w:sz w:val="24"/>
              </w:rPr>
            </w:pPr>
            <w:r>
              <w:rPr>
                <w:rFonts w:hint="eastAsia"/>
                <w:color w:val="000000"/>
                <w:sz w:val="24"/>
              </w:rPr>
              <w:t>作</w:t>
            </w:r>
          </w:p>
          <w:p>
            <w:pPr>
              <w:spacing w:line="280" w:lineRule="exact"/>
              <w:jc w:val="center"/>
              <w:rPr>
                <w:color w:val="000000"/>
                <w:sz w:val="24"/>
              </w:rPr>
            </w:pPr>
            <w:r>
              <w:rPr>
                <w:color w:val="000000"/>
                <w:sz w:val="24"/>
              </w:rPr>
              <w:t>30</w:t>
            </w:r>
          </w:p>
          <w:p>
            <w:pPr>
              <w:spacing w:line="280" w:lineRule="exact"/>
              <w:jc w:val="center"/>
              <w:rPr>
                <w:color w:val="000000"/>
                <w:sz w:val="24"/>
              </w:rPr>
            </w:pP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868" w:type="dxa"/>
            <w:vMerge w:val="restart"/>
            <w:tcBorders>
              <w:right w:val="single" w:color="auto" w:sz="4" w:space="0"/>
            </w:tcBorders>
            <w:noWrap/>
            <w:vAlign w:val="center"/>
          </w:tcPr>
          <w:p>
            <w:pPr>
              <w:spacing w:line="280" w:lineRule="exact"/>
              <w:jc w:val="center"/>
              <w:rPr>
                <w:color w:val="000000"/>
                <w:sz w:val="24"/>
              </w:rPr>
            </w:pPr>
            <w:r>
              <w:rPr>
                <w:rFonts w:hint="eastAsia"/>
                <w:color w:val="000000"/>
                <w:sz w:val="24"/>
              </w:rPr>
              <w:t>政治建设</w:t>
            </w:r>
          </w:p>
          <w:p>
            <w:pPr>
              <w:spacing w:line="280" w:lineRule="exact"/>
              <w:jc w:val="center"/>
              <w:rPr>
                <w:color w:val="000000"/>
                <w:sz w:val="24"/>
              </w:rPr>
            </w:pPr>
            <w:r>
              <w:rPr>
                <w:color w:val="000000"/>
                <w:sz w:val="24"/>
              </w:rPr>
              <w:t>4</w:t>
            </w:r>
            <w:r>
              <w:rPr>
                <w:rFonts w:hint="eastAsia"/>
                <w:color w:val="000000"/>
                <w:sz w:val="24"/>
              </w:rPr>
              <w:t>分</w:t>
            </w:r>
          </w:p>
        </w:tc>
        <w:tc>
          <w:tcPr>
            <w:tcW w:w="5579" w:type="dxa"/>
            <w:tcBorders>
              <w:left w:val="single" w:color="auto" w:sz="4" w:space="0"/>
            </w:tcBorders>
            <w:noWrap/>
            <w:vAlign w:val="center"/>
          </w:tcPr>
          <w:p>
            <w:pPr>
              <w:spacing w:line="300" w:lineRule="exact"/>
              <w:rPr>
                <w:color w:val="000000"/>
                <w:sz w:val="24"/>
              </w:rPr>
            </w:pPr>
            <w:r>
              <w:rPr>
                <w:rFonts w:hint="eastAsia" w:ascii="仿宋_GB2312" w:hAnsi="宋体" w:eastAsia="仿宋_GB2312"/>
                <w:color w:val="000000"/>
                <w:kern w:val="0"/>
                <w:szCs w:val="21"/>
              </w:rPr>
              <w:t>坚持和加强党的全面领导，团结带领全所律师树牢“四个意识”，坚定“四个自信”，坚决做到“两个维护”，在政治立场、政治方向、政治原则、政治道路上同以习近平同志为核心的党中央保持高度一致。</w:t>
            </w:r>
          </w:p>
        </w:tc>
        <w:tc>
          <w:tcPr>
            <w:tcW w:w="836" w:type="dxa"/>
            <w:noWrap/>
            <w:vAlign w:val="center"/>
          </w:tcPr>
          <w:p>
            <w:pPr>
              <w:spacing w:line="300" w:lineRule="exact"/>
              <w:jc w:val="center"/>
              <w:rPr>
                <w:color w:val="000000"/>
                <w:sz w:val="24"/>
              </w:rPr>
            </w:pPr>
            <w:r>
              <w:rPr>
                <w:color w:val="000000"/>
                <w:sz w:val="24"/>
              </w:rPr>
              <w:t>2</w:t>
            </w:r>
          </w:p>
        </w:tc>
        <w:tc>
          <w:tcPr>
            <w:tcW w:w="840" w:type="dxa"/>
            <w:noWrap/>
            <w:vAlign w:val="center"/>
          </w:tcPr>
          <w:p>
            <w:pPr>
              <w:spacing w:line="300" w:lineRule="exact"/>
              <w:jc w:val="center"/>
              <w:rPr>
                <w:color w:val="000000"/>
                <w:sz w:val="24"/>
              </w:rPr>
            </w:pPr>
          </w:p>
        </w:tc>
        <w:tc>
          <w:tcPr>
            <w:tcW w:w="742" w:type="dxa"/>
            <w:tcBorders>
              <w:right w:val="single" w:color="auto" w:sz="4" w:space="0"/>
            </w:tcBorders>
            <w:noWrap/>
            <w:vAlign w:val="center"/>
          </w:tcPr>
          <w:p>
            <w:pPr>
              <w:spacing w:line="300" w:lineRule="exact"/>
              <w:jc w:val="center"/>
              <w:rPr>
                <w:color w:val="000000"/>
                <w:sz w:val="24"/>
              </w:rPr>
            </w:pPr>
          </w:p>
        </w:tc>
        <w:tc>
          <w:tcPr>
            <w:tcW w:w="4826" w:type="dxa"/>
            <w:tcBorders>
              <w:left w:val="single" w:color="auto" w:sz="4" w:space="0"/>
            </w:tcBorders>
            <w:noWrap/>
            <w:vAlign w:val="center"/>
          </w:tcPr>
          <w:p>
            <w:pPr>
              <w:spacing w:line="30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bCs/>
                <w:color w:val="000000"/>
                <w:kern w:val="0"/>
                <w:szCs w:val="21"/>
              </w:rPr>
              <w:t>查看相关资料，访谈律师。</w:t>
            </w:r>
          </w:p>
          <w:p>
            <w:pPr>
              <w:spacing w:line="300" w:lineRule="exact"/>
              <w:rPr>
                <w:rFonts w:ascii="仿宋_GB2312" w:hAnsi="宋体" w:eastAsia="仿宋_GB2312"/>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bCs/>
                <w:color w:val="000000"/>
                <w:kern w:val="0"/>
                <w:szCs w:val="21"/>
              </w:rPr>
              <w:t>对树牢“四个意识”，坚定“四个自信”，坚决做到“</w:t>
            </w:r>
            <w:r>
              <w:rPr>
                <w:rFonts w:hint="eastAsia" w:ascii="仿宋_GB2312" w:hAnsi="宋体" w:eastAsia="仿宋_GB2312"/>
                <w:color w:val="000000"/>
                <w:kern w:val="0"/>
                <w:szCs w:val="21"/>
              </w:rPr>
              <w:t>两个维护”理解与执行不到位的扣2</w:t>
            </w:r>
            <w:r>
              <w:rPr>
                <w:rFonts w:ascii="仿宋_GB2312" w:hAnsi="宋体" w:eastAsia="仿宋_GB2312"/>
                <w:color w:val="000000"/>
                <w:kern w:val="0"/>
                <w:szCs w:val="21"/>
              </w:rPr>
              <w:t>分</w:t>
            </w:r>
            <w:r>
              <w:rPr>
                <w:rFonts w:hint="eastAsia" w:ascii="仿宋_GB2312" w:hAnsi="宋体" w:eastAsia="仿宋_GB2312"/>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2" w:hRule="atLeast"/>
        </w:trPr>
        <w:tc>
          <w:tcPr>
            <w:tcW w:w="516" w:type="dxa"/>
            <w:vMerge w:val="continue"/>
            <w:noWrap/>
            <w:vAlign w:val="center"/>
          </w:tcPr>
          <w:p>
            <w:pPr>
              <w:spacing w:line="280" w:lineRule="exact"/>
              <w:jc w:val="center"/>
              <w:rPr>
                <w:color w:val="000000"/>
                <w:sz w:val="24"/>
              </w:rPr>
            </w:pPr>
          </w:p>
        </w:tc>
        <w:tc>
          <w:tcPr>
            <w:tcW w:w="868" w:type="dxa"/>
            <w:vMerge w:val="continue"/>
            <w:tcBorders>
              <w:bottom w:val="single" w:color="auto" w:sz="4" w:space="0"/>
              <w:right w:val="single" w:color="auto" w:sz="4" w:space="0"/>
            </w:tcBorders>
            <w:noWrap/>
            <w:vAlign w:val="center"/>
          </w:tcPr>
          <w:p>
            <w:pPr>
              <w:spacing w:line="280" w:lineRule="exact"/>
              <w:jc w:val="center"/>
              <w:rPr>
                <w:color w:val="000000"/>
                <w:sz w:val="24"/>
              </w:rPr>
            </w:pPr>
          </w:p>
        </w:tc>
        <w:tc>
          <w:tcPr>
            <w:tcW w:w="5579" w:type="dxa"/>
            <w:tcBorders>
              <w:left w:val="single" w:color="auto" w:sz="4" w:space="0"/>
            </w:tcBorders>
            <w:noWrap/>
            <w:vAlign w:val="center"/>
          </w:tcPr>
          <w:p>
            <w:pPr>
              <w:spacing w:line="300" w:lineRule="exact"/>
              <w:rPr>
                <w:color w:val="000000"/>
                <w:sz w:val="24"/>
              </w:rPr>
            </w:pPr>
            <w:r>
              <w:rPr>
                <w:rFonts w:hint="eastAsia" w:ascii="仿宋_GB2312" w:hAnsi="宋体" w:eastAsia="仿宋_GB2312"/>
                <w:color w:val="000000"/>
                <w:kern w:val="0"/>
                <w:szCs w:val="21"/>
              </w:rPr>
              <w:t xml:space="preserve">坚持党的基本理论、基本路线、基本方略，团结组织党员律师和群众，宣传和执行党的路线、方针、政策，宣传和执行党中央、上级组织和本组织的决议，自觉服务大局开展工作，确保党的路线方针政策和决策部署贯彻落实。  </w:t>
            </w:r>
          </w:p>
        </w:tc>
        <w:tc>
          <w:tcPr>
            <w:tcW w:w="836" w:type="dxa"/>
            <w:noWrap/>
            <w:vAlign w:val="center"/>
          </w:tcPr>
          <w:p>
            <w:pPr>
              <w:spacing w:line="300" w:lineRule="exact"/>
              <w:jc w:val="center"/>
              <w:rPr>
                <w:color w:val="000000"/>
                <w:sz w:val="24"/>
              </w:rPr>
            </w:pPr>
            <w:r>
              <w:rPr>
                <w:rFonts w:hint="eastAsia"/>
                <w:color w:val="000000"/>
                <w:sz w:val="24"/>
              </w:rPr>
              <w:t>2</w:t>
            </w:r>
          </w:p>
        </w:tc>
        <w:tc>
          <w:tcPr>
            <w:tcW w:w="840" w:type="dxa"/>
            <w:noWrap/>
            <w:vAlign w:val="center"/>
          </w:tcPr>
          <w:p>
            <w:pPr>
              <w:spacing w:line="300" w:lineRule="exact"/>
              <w:jc w:val="center"/>
              <w:rPr>
                <w:color w:val="000000"/>
                <w:sz w:val="24"/>
              </w:rPr>
            </w:pPr>
          </w:p>
        </w:tc>
        <w:tc>
          <w:tcPr>
            <w:tcW w:w="742" w:type="dxa"/>
            <w:tcBorders>
              <w:right w:val="single" w:color="auto" w:sz="4" w:space="0"/>
            </w:tcBorders>
            <w:noWrap/>
            <w:vAlign w:val="center"/>
          </w:tcPr>
          <w:p>
            <w:pPr>
              <w:spacing w:line="300" w:lineRule="exact"/>
              <w:jc w:val="center"/>
              <w:rPr>
                <w:color w:val="000000"/>
                <w:sz w:val="24"/>
              </w:rPr>
            </w:pPr>
          </w:p>
        </w:tc>
        <w:tc>
          <w:tcPr>
            <w:tcW w:w="4826" w:type="dxa"/>
            <w:tcBorders>
              <w:left w:val="single" w:color="auto" w:sz="4" w:space="0"/>
            </w:tcBorders>
            <w:noWrap/>
            <w:vAlign w:val="center"/>
          </w:tcPr>
          <w:p>
            <w:pPr>
              <w:spacing w:line="300" w:lineRule="exact"/>
              <w:ind w:right="-63" w:rightChars="-30"/>
              <w:rPr>
                <w:rFonts w:ascii="仿宋_GB2312" w:hAnsi="宋体" w:eastAsia="仿宋_GB2312"/>
                <w:bCs/>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bCs/>
                <w:color w:val="000000"/>
                <w:kern w:val="0"/>
                <w:szCs w:val="21"/>
              </w:rPr>
              <w:t>查看会议记录和相关资料，访谈律师。</w:t>
            </w:r>
          </w:p>
          <w:p>
            <w:pPr>
              <w:spacing w:line="30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bCs/>
                <w:color w:val="000000"/>
                <w:kern w:val="0"/>
                <w:szCs w:val="21"/>
              </w:rPr>
              <w:t>宣传和执行党的路线、方针、政策不到位的扣</w:t>
            </w:r>
            <w:r>
              <w:rPr>
                <w:rFonts w:ascii="仿宋_GB2312" w:hAnsi="宋体" w:eastAsia="仿宋_GB2312"/>
                <w:bCs/>
                <w:color w:val="000000"/>
                <w:kern w:val="0"/>
                <w:szCs w:val="21"/>
              </w:rPr>
              <w:t>1</w:t>
            </w:r>
            <w:r>
              <w:rPr>
                <w:rFonts w:hint="eastAsia" w:ascii="仿宋_GB2312" w:hAnsi="宋体" w:eastAsia="仿宋_GB2312"/>
                <w:bCs/>
                <w:color w:val="000000"/>
                <w:kern w:val="0"/>
                <w:szCs w:val="21"/>
              </w:rPr>
              <w:t>分；</w:t>
            </w:r>
            <w:r>
              <w:rPr>
                <w:rFonts w:hint="eastAsia" w:ascii="仿宋_GB2312" w:hAnsi="宋体" w:eastAsia="仿宋_GB2312"/>
                <w:color w:val="000000"/>
                <w:kern w:val="0"/>
                <w:szCs w:val="21"/>
              </w:rPr>
              <w:t>宣传和执行党中央、上级组织和本组织的决议不到位的扣</w:t>
            </w:r>
            <w:r>
              <w:rPr>
                <w:rFonts w:ascii="仿宋_GB2312" w:hAnsi="宋体" w:eastAsia="仿宋_GB2312"/>
                <w:color w:val="000000"/>
                <w:kern w:val="0"/>
                <w:szCs w:val="21"/>
              </w:rPr>
              <w:t>1</w:t>
            </w:r>
            <w:r>
              <w:rPr>
                <w:rFonts w:hint="eastAsia" w:ascii="仿宋_GB2312" w:hAnsi="宋体" w:eastAsia="仿宋_GB2312"/>
                <w:color w:val="00000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2" w:hRule="atLeast"/>
        </w:trPr>
        <w:tc>
          <w:tcPr>
            <w:tcW w:w="516" w:type="dxa"/>
            <w:vMerge w:val="continue"/>
            <w:noWrap/>
            <w:vAlign w:val="center"/>
          </w:tcPr>
          <w:p>
            <w:pPr>
              <w:spacing w:line="280" w:lineRule="exact"/>
              <w:jc w:val="center"/>
              <w:rPr>
                <w:color w:val="000000"/>
                <w:sz w:val="24"/>
              </w:rPr>
            </w:pPr>
          </w:p>
        </w:tc>
        <w:tc>
          <w:tcPr>
            <w:tcW w:w="868" w:type="dxa"/>
            <w:vMerge w:val="restart"/>
            <w:tcBorders>
              <w:top w:val="single" w:color="auto" w:sz="4" w:space="0"/>
              <w:right w:val="single" w:color="auto" w:sz="4" w:space="0"/>
            </w:tcBorders>
            <w:noWrap/>
            <w:vAlign w:val="center"/>
          </w:tcPr>
          <w:p>
            <w:pPr>
              <w:spacing w:line="280" w:lineRule="exact"/>
              <w:rPr>
                <w:color w:val="000000"/>
                <w:sz w:val="24"/>
              </w:rPr>
            </w:pPr>
          </w:p>
          <w:p>
            <w:pPr>
              <w:spacing w:line="280" w:lineRule="exact"/>
              <w:jc w:val="center"/>
              <w:rPr>
                <w:color w:val="000000"/>
                <w:sz w:val="24"/>
              </w:rPr>
            </w:pPr>
            <w:r>
              <w:rPr>
                <w:rFonts w:hint="eastAsia"/>
                <w:color w:val="000000"/>
                <w:sz w:val="24"/>
              </w:rPr>
              <w:t>组织设置</w:t>
            </w:r>
          </w:p>
          <w:p>
            <w:pPr>
              <w:spacing w:line="280" w:lineRule="exact"/>
              <w:jc w:val="center"/>
              <w:rPr>
                <w:color w:val="000000"/>
                <w:sz w:val="24"/>
              </w:rPr>
            </w:pPr>
            <w:r>
              <w:rPr>
                <w:color w:val="000000"/>
                <w:sz w:val="24"/>
              </w:rPr>
              <w:t>8</w:t>
            </w:r>
            <w:r>
              <w:rPr>
                <w:rFonts w:hint="eastAsia"/>
                <w:color w:val="000000"/>
                <w:sz w:val="24"/>
              </w:rPr>
              <w:t>分</w:t>
            </w:r>
          </w:p>
          <w:p>
            <w:pPr>
              <w:spacing w:line="280" w:lineRule="exact"/>
              <w:jc w:val="center"/>
              <w:rPr>
                <w:color w:val="000000"/>
                <w:sz w:val="24"/>
              </w:rPr>
            </w:pPr>
          </w:p>
        </w:tc>
        <w:tc>
          <w:tcPr>
            <w:tcW w:w="5579" w:type="dxa"/>
            <w:tcBorders>
              <w:left w:val="single" w:color="auto" w:sz="4" w:space="0"/>
            </w:tcBorders>
            <w:noWrap/>
            <w:vAlign w:val="center"/>
          </w:tcPr>
          <w:p>
            <w:pPr>
              <w:spacing w:line="300" w:lineRule="exact"/>
              <w:rPr>
                <w:color w:val="000000"/>
                <w:sz w:val="24"/>
              </w:rPr>
            </w:pPr>
            <w:r>
              <w:rPr>
                <w:rFonts w:hint="eastAsia" w:ascii="仿宋_GB2312" w:hAnsi="宋体" w:eastAsia="仿宋_GB2312"/>
                <w:color w:val="000000"/>
                <w:kern w:val="0"/>
                <w:szCs w:val="21"/>
              </w:rPr>
              <w:t>有正式党员3名以上的律师事务所，设立党支部；正式党员超过50名的，成立党总支，下设若干个党支部；正式党员超过100名的，成立基层党委，下设若干党支部。</w:t>
            </w:r>
            <w:r>
              <w:rPr>
                <w:rFonts w:ascii="仿宋_GB2312" w:hAnsi="宋体" w:eastAsia="仿宋_GB2312"/>
                <w:color w:val="000000"/>
                <w:kern w:val="0"/>
                <w:szCs w:val="21"/>
              </w:rPr>
              <w:t>具备条件设立党小组的应按照便于组织开展活动的原则划分党小组</w:t>
            </w:r>
            <w:r>
              <w:rPr>
                <w:rFonts w:hint="eastAsia" w:ascii="仿宋_GB2312" w:hAnsi="宋体" w:eastAsia="仿宋_GB2312"/>
                <w:color w:val="000000"/>
                <w:kern w:val="0"/>
                <w:szCs w:val="21"/>
              </w:rPr>
              <w:t>；有正式党员7人以上的律所党支部设立党支部委员会。</w:t>
            </w:r>
          </w:p>
        </w:tc>
        <w:tc>
          <w:tcPr>
            <w:tcW w:w="836" w:type="dxa"/>
            <w:noWrap/>
            <w:vAlign w:val="center"/>
          </w:tcPr>
          <w:p>
            <w:pPr>
              <w:spacing w:line="300" w:lineRule="exact"/>
              <w:jc w:val="center"/>
              <w:rPr>
                <w:color w:val="000000"/>
                <w:sz w:val="24"/>
              </w:rPr>
            </w:pPr>
            <w:r>
              <w:rPr>
                <w:color w:val="000000"/>
                <w:sz w:val="24"/>
              </w:rPr>
              <w:t>2</w:t>
            </w:r>
          </w:p>
        </w:tc>
        <w:tc>
          <w:tcPr>
            <w:tcW w:w="840" w:type="dxa"/>
            <w:noWrap/>
            <w:vAlign w:val="center"/>
          </w:tcPr>
          <w:p>
            <w:pPr>
              <w:spacing w:line="300" w:lineRule="exact"/>
              <w:jc w:val="center"/>
              <w:rPr>
                <w:color w:val="000000"/>
                <w:sz w:val="24"/>
              </w:rPr>
            </w:pPr>
          </w:p>
        </w:tc>
        <w:tc>
          <w:tcPr>
            <w:tcW w:w="742" w:type="dxa"/>
            <w:tcBorders>
              <w:right w:val="single" w:color="auto" w:sz="4" w:space="0"/>
            </w:tcBorders>
            <w:noWrap/>
            <w:vAlign w:val="center"/>
          </w:tcPr>
          <w:p>
            <w:pPr>
              <w:spacing w:line="300" w:lineRule="exact"/>
              <w:jc w:val="center"/>
              <w:rPr>
                <w:color w:val="000000"/>
                <w:sz w:val="24"/>
              </w:rPr>
            </w:pPr>
          </w:p>
        </w:tc>
        <w:tc>
          <w:tcPr>
            <w:tcW w:w="4826" w:type="dxa"/>
            <w:tcBorders>
              <w:left w:val="single" w:color="auto" w:sz="4" w:space="0"/>
            </w:tcBorders>
            <w:noWrap/>
            <w:vAlign w:val="center"/>
          </w:tcPr>
          <w:p>
            <w:pPr>
              <w:spacing w:line="30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bCs/>
                <w:color w:val="000000"/>
                <w:kern w:val="0"/>
                <w:szCs w:val="21"/>
              </w:rPr>
              <w:t>检查台账与实地考察相结合</w:t>
            </w:r>
          </w:p>
          <w:p>
            <w:pPr>
              <w:spacing w:line="300" w:lineRule="exact"/>
              <w:rPr>
                <w:color w:val="000000"/>
                <w:spacing w:val="-6"/>
                <w:sz w:val="24"/>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未按</w:t>
            </w:r>
            <w:r>
              <w:rPr>
                <w:rFonts w:ascii="仿宋_GB2312" w:hAnsi="宋体" w:eastAsia="仿宋_GB2312"/>
                <w:color w:val="000000"/>
                <w:kern w:val="0"/>
                <w:szCs w:val="21"/>
              </w:rPr>
              <w:t>组织规范化要求进行组织设置的扣</w:t>
            </w:r>
            <w:r>
              <w:rPr>
                <w:rFonts w:hint="eastAsia" w:ascii="仿宋_GB2312" w:hAnsi="宋体" w:eastAsia="仿宋_GB2312"/>
                <w:color w:val="000000"/>
                <w:kern w:val="0"/>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bottom w:val="single" w:color="auto" w:sz="4" w:space="0"/>
            </w:tcBorders>
            <w:noWrap/>
            <w:vAlign w:val="center"/>
          </w:tcPr>
          <w:p>
            <w:pPr>
              <w:spacing w:line="300" w:lineRule="exact"/>
              <w:rPr>
                <w:rFonts w:ascii="仿宋_GB2312" w:hAnsi="宋体" w:eastAsia="仿宋_GB2312"/>
                <w:color w:val="000000"/>
                <w:kern w:val="0"/>
                <w:szCs w:val="21"/>
              </w:rPr>
            </w:pPr>
            <w:r>
              <w:rPr>
                <w:rFonts w:hint="eastAsia" w:ascii="仿宋_GB2312" w:hAnsi="宋体" w:eastAsia="仿宋_GB2312"/>
                <w:color w:val="000000"/>
                <w:kern w:val="0"/>
                <w:szCs w:val="21"/>
              </w:rPr>
              <w:t>律师事务所党组织设立党务工作者，正式党员数量超过100名的配备l名专职党务工作者，正式党员未超过1</w:t>
            </w:r>
            <w:r>
              <w:rPr>
                <w:rFonts w:ascii="仿宋_GB2312" w:hAnsi="宋体" w:eastAsia="仿宋_GB2312"/>
                <w:color w:val="000000"/>
                <w:kern w:val="0"/>
                <w:szCs w:val="21"/>
              </w:rPr>
              <w:t>00</w:t>
            </w:r>
            <w:r>
              <w:rPr>
                <w:rFonts w:hint="eastAsia" w:ascii="仿宋_GB2312" w:hAnsi="宋体" w:eastAsia="仿宋_GB2312"/>
                <w:color w:val="000000"/>
                <w:kern w:val="0"/>
                <w:szCs w:val="21"/>
              </w:rPr>
              <w:t>名</w:t>
            </w:r>
            <w:r>
              <w:rPr>
                <w:rFonts w:ascii="仿宋_GB2312" w:hAnsi="宋体" w:eastAsia="仿宋_GB2312"/>
                <w:color w:val="000000"/>
                <w:kern w:val="0"/>
                <w:szCs w:val="21"/>
              </w:rPr>
              <w:t>的律所党组织至少配备</w:t>
            </w:r>
            <w:r>
              <w:rPr>
                <w:rFonts w:hint="eastAsia" w:ascii="仿宋_GB2312" w:hAnsi="宋体" w:eastAsia="仿宋_GB2312"/>
                <w:color w:val="000000"/>
                <w:kern w:val="0"/>
                <w:szCs w:val="21"/>
              </w:rPr>
              <w:t>1名兼职党务工作者。</w:t>
            </w:r>
          </w:p>
        </w:tc>
        <w:tc>
          <w:tcPr>
            <w:tcW w:w="836" w:type="dxa"/>
            <w:tcBorders>
              <w:bottom w:val="single" w:color="auto" w:sz="4" w:space="0"/>
            </w:tcBorders>
            <w:noWrap/>
            <w:vAlign w:val="center"/>
          </w:tcPr>
          <w:p>
            <w:pPr>
              <w:spacing w:line="300" w:lineRule="exact"/>
              <w:jc w:val="center"/>
              <w:rPr>
                <w:color w:val="000000"/>
                <w:sz w:val="24"/>
              </w:rPr>
            </w:pPr>
            <w:r>
              <w:rPr>
                <w:color w:val="000000"/>
                <w:sz w:val="24"/>
              </w:rPr>
              <w:t>2</w:t>
            </w:r>
          </w:p>
        </w:tc>
        <w:tc>
          <w:tcPr>
            <w:tcW w:w="840" w:type="dxa"/>
            <w:tcBorders>
              <w:bottom w:val="single" w:color="auto" w:sz="4" w:space="0"/>
            </w:tcBorders>
            <w:noWrap/>
            <w:vAlign w:val="center"/>
          </w:tcPr>
          <w:p>
            <w:pPr>
              <w:spacing w:line="300" w:lineRule="exact"/>
              <w:jc w:val="center"/>
              <w:rPr>
                <w:color w:val="000000"/>
                <w:sz w:val="24"/>
              </w:rPr>
            </w:pPr>
          </w:p>
        </w:tc>
        <w:tc>
          <w:tcPr>
            <w:tcW w:w="742" w:type="dxa"/>
            <w:tcBorders>
              <w:bottom w:val="single" w:color="auto" w:sz="4" w:space="0"/>
              <w:right w:val="single" w:color="auto" w:sz="4" w:space="0"/>
            </w:tcBorders>
            <w:noWrap/>
            <w:vAlign w:val="center"/>
          </w:tcPr>
          <w:p>
            <w:pPr>
              <w:spacing w:line="300" w:lineRule="exact"/>
              <w:jc w:val="center"/>
              <w:rPr>
                <w:color w:val="000000"/>
                <w:sz w:val="24"/>
              </w:rPr>
            </w:pPr>
          </w:p>
        </w:tc>
        <w:tc>
          <w:tcPr>
            <w:tcW w:w="4826" w:type="dxa"/>
            <w:tcBorders>
              <w:left w:val="single" w:color="auto" w:sz="4" w:space="0"/>
              <w:bottom w:val="single" w:color="auto" w:sz="4" w:space="0"/>
            </w:tcBorders>
            <w:noWrap/>
            <w:vAlign w:val="center"/>
          </w:tcPr>
          <w:p>
            <w:pPr>
              <w:spacing w:line="30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：查看相关资料。</w:t>
            </w:r>
          </w:p>
          <w:p>
            <w:pPr>
              <w:spacing w:line="300" w:lineRule="exact"/>
              <w:rPr>
                <w:color w:val="000000"/>
                <w:sz w:val="24"/>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未配备党务工作者的党组织扣2分；未按要求配备专职党务工作者的扣1分。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top w:val="single" w:color="auto" w:sz="4" w:space="0"/>
            </w:tcBorders>
            <w:noWrap/>
            <w:vAlign w:val="center"/>
          </w:tcPr>
          <w:p>
            <w:pPr>
              <w:spacing w:line="300" w:lineRule="exact"/>
              <w:rPr>
                <w:rFonts w:ascii="仿宋_GB2312" w:hAnsi="宋体" w:eastAsia="仿宋_GB2312"/>
                <w:color w:val="000000"/>
                <w:kern w:val="0"/>
                <w:szCs w:val="21"/>
              </w:rPr>
            </w:pPr>
            <w:r>
              <w:rPr>
                <w:rFonts w:hint="eastAsia" w:ascii="仿宋_GB2312" w:hAnsi="宋体" w:eastAsia="仿宋_GB2312"/>
                <w:color w:val="000000"/>
                <w:kern w:val="0"/>
                <w:szCs w:val="21"/>
              </w:rPr>
              <w:t>按照“有场所、有设施、有标志、有资料”的标准建设党建活动室。不具备单独建设党建活动室条件的积极利用当地区域性、综合性、开放性党群活动中心开展活动。</w:t>
            </w:r>
          </w:p>
        </w:tc>
        <w:tc>
          <w:tcPr>
            <w:tcW w:w="836" w:type="dxa"/>
            <w:tcBorders>
              <w:top w:val="single" w:color="auto" w:sz="4" w:space="0"/>
            </w:tcBorders>
            <w:noWrap/>
            <w:vAlign w:val="center"/>
          </w:tcPr>
          <w:p>
            <w:pPr>
              <w:spacing w:line="300" w:lineRule="exact"/>
              <w:jc w:val="center"/>
              <w:rPr>
                <w:color w:val="000000"/>
                <w:sz w:val="24"/>
              </w:rPr>
            </w:pPr>
            <w:r>
              <w:rPr>
                <w:color w:val="000000"/>
                <w:sz w:val="24"/>
              </w:rPr>
              <w:t>2</w:t>
            </w:r>
          </w:p>
        </w:tc>
        <w:tc>
          <w:tcPr>
            <w:tcW w:w="840" w:type="dxa"/>
            <w:tcBorders>
              <w:top w:val="single" w:color="auto" w:sz="4" w:space="0"/>
            </w:tcBorders>
            <w:noWrap/>
            <w:vAlign w:val="center"/>
          </w:tcPr>
          <w:p>
            <w:pPr>
              <w:spacing w:line="300" w:lineRule="exact"/>
              <w:jc w:val="center"/>
              <w:rPr>
                <w:color w:val="000000"/>
                <w:sz w:val="24"/>
              </w:rPr>
            </w:pPr>
          </w:p>
        </w:tc>
        <w:tc>
          <w:tcPr>
            <w:tcW w:w="742" w:type="dxa"/>
            <w:tcBorders>
              <w:top w:val="single" w:color="auto" w:sz="4" w:space="0"/>
              <w:right w:val="single" w:color="auto" w:sz="4" w:space="0"/>
            </w:tcBorders>
            <w:noWrap/>
            <w:vAlign w:val="center"/>
          </w:tcPr>
          <w:p>
            <w:pPr>
              <w:spacing w:line="300" w:lineRule="exact"/>
              <w:jc w:val="center"/>
              <w:rPr>
                <w:color w:val="000000"/>
                <w:sz w:val="24"/>
              </w:rPr>
            </w:pPr>
          </w:p>
        </w:tc>
        <w:tc>
          <w:tcPr>
            <w:tcW w:w="4826" w:type="dxa"/>
            <w:tcBorders>
              <w:top w:val="single" w:color="auto" w:sz="4" w:space="0"/>
              <w:left w:val="single" w:color="auto" w:sz="4" w:space="0"/>
            </w:tcBorders>
            <w:noWrap/>
            <w:vAlign w:val="center"/>
          </w:tcPr>
          <w:p>
            <w:pPr>
              <w:spacing w:line="30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：查看现场和相关资料。</w:t>
            </w:r>
          </w:p>
          <w:p>
            <w:pPr>
              <w:spacing w:line="30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阵地建设不规范的扣</w:t>
            </w:r>
            <w:r>
              <w:rPr>
                <w:rFonts w:ascii="仿宋_GB2312" w:hAnsi="宋体" w:eastAsia="仿宋_GB2312"/>
                <w:color w:val="000000"/>
                <w:kern w:val="0"/>
                <w:szCs w:val="21"/>
              </w:rPr>
              <w:t>2</w:t>
            </w:r>
            <w:r>
              <w:rPr>
                <w:rFonts w:hint="eastAsia" w:ascii="仿宋_GB2312" w:hAnsi="宋体" w:eastAsia="仿宋_GB2312"/>
                <w:color w:val="00000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noWrap/>
            <w:vAlign w:val="center"/>
          </w:tcPr>
          <w:p>
            <w:pPr>
              <w:spacing w:line="300" w:lineRule="exact"/>
              <w:ind w:left="-63" w:leftChars="-30" w:right="-63" w:rightChars="-30"/>
              <w:rPr>
                <w:rFonts w:ascii="仿宋_GB2312" w:hAnsi="宋体" w:eastAsia="仿宋_GB2312"/>
                <w:color w:val="000000"/>
                <w:kern w:val="0"/>
                <w:szCs w:val="21"/>
              </w:rPr>
            </w:pPr>
            <w:r>
              <w:rPr>
                <w:rFonts w:hint="eastAsia" w:ascii="仿宋_GB2312" w:hAnsi="宋体" w:eastAsia="仿宋_GB2312"/>
                <w:color w:val="000000"/>
                <w:kern w:val="0"/>
                <w:szCs w:val="21"/>
              </w:rPr>
              <w:t>律师事务所党组织应当按期换届，基层委员会每届任期一般为5年，党总支委员会、党支部委员会每届任期一般为3年。</w:t>
            </w:r>
          </w:p>
        </w:tc>
        <w:tc>
          <w:tcPr>
            <w:tcW w:w="836" w:type="dxa"/>
            <w:noWrap/>
            <w:vAlign w:val="center"/>
          </w:tcPr>
          <w:p>
            <w:pPr>
              <w:spacing w:line="300" w:lineRule="exact"/>
              <w:jc w:val="center"/>
              <w:rPr>
                <w:color w:val="000000"/>
                <w:sz w:val="24"/>
              </w:rPr>
            </w:pPr>
            <w:r>
              <w:rPr>
                <w:color w:val="000000"/>
                <w:sz w:val="24"/>
              </w:rPr>
              <w:t>2</w:t>
            </w:r>
          </w:p>
        </w:tc>
        <w:tc>
          <w:tcPr>
            <w:tcW w:w="840" w:type="dxa"/>
            <w:noWrap/>
            <w:vAlign w:val="center"/>
          </w:tcPr>
          <w:p>
            <w:pPr>
              <w:spacing w:line="300" w:lineRule="exact"/>
              <w:jc w:val="center"/>
              <w:rPr>
                <w:color w:val="000000"/>
                <w:sz w:val="24"/>
              </w:rPr>
            </w:pPr>
          </w:p>
        </w:tc>
        <w:tc>
          <w:tcPr>
            <w:tcW w:w="742" w:type="dxa"/>
            <w:tcBorders>
              <w:right w:val="single" w:color="auto" w:sz="4" w:space="0"/>
            </w:tcBorders>
            <w:noWrap/>
            <w:vAlign w:val="center"/>
          </w:tcPr>
          <w:p>
            <w:pPr>
              <w:spacing w:line="300" w:lineRule="exact"/>
              <w:jc w:val="center"/>
              <w:rPr>
                <w:color w:val="000000"/>
                <w:sz w:val="24"/>
              </w:rPr>
            </w:pPr>
          </w:p>
        </w:tc>
        <w:tc>
          <w:tcPr>
            <w:tcW w:w="4826" w:type="dxa"/>
            <w:tcBorders>
              <w:left w:val="single" w:color="auto" w:sz="4" w:space="0"/>
            </w:tcBorders>
            <w:noWrap/>
            <w:vAlign w:val="center"/>
          </w:tcPr>
          <w:p>
            <w:pPr>
              <w:spacing w:line="30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bCs/>
                <w:color w:val="000000"/>
                <w:kern w:val="0"/>
                <w:szCs w:val="21"/>
              </w:rPr>
              <w:t>查看会议记录和相关资料</w:t>
            </w:r>
            <w:r>
              <w:rPr>
                <w:rFonts w:hint="eastAsia" w:ascii="仿宋_GB2312" w:hAnsi="宋体" w:eastAsia="仿宋_GB2312"/>
                <w:b/>
                <w:bCs/>
                <w:color w:val="000000"/>
                <w:kern w:val="0"/>
                <w:szCs w:val="21"/>
              </w:rPr>
              <w:t>。</w:t>
            </w:r>
          </w:p>
          <w:p>
            <w:pPr>
              <w:spacing w:line="30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党组织未按期换届的扣1分；未按期换届又未及时整改的扣2分。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516" w:type="dxa"/>
            <w:vMerge w:val="continue"/>
            <w:noWrap/>
            <w:vAlign w:val="center"/>
          </w:tcPr>
          <w:p>
            <w:pPr>
              <w:spacing w:line="280" w:lineRule="exact"/>
              <w:jc w:val="center"/>
              <w:rPr>
                <w:color w:val="000000"/>
                <w:sz w:val="24"/>
              </w:rPr>
            </w:pPr>
          </w:p>
        </w:tc>
        <w:tc>
          <w:tcPr>
            <w:tcW w:w="868" w:type="dxa"/>
            <w:vMerge w:val="restart"/>
            <w:tcBorders>
              <w:top w:val="single" w:color="auto" w:sz="4" w:space="0"/>
              <w:right w:val="single" w:color="auto" w:sz="4" w:space="0"/>
            </w:tcBorders>
            <w:noWrap/>
            <w:vAlign w:val="center"/>
          </w:tcPr>
          <w:p>
            <w:pPr>
              <w:spacing w:line="280" w:lineRule="exact"/>
              <w:jc w:val="center"/>
              <w:rPr>
                <w:color w:val="000000"/>
                <w:sz w:val="24"/>
              </w:rPr>
            </w:pPr>
            <w:r>
              <w:rPr>
                <w:rFonts w:hint="eastAsia"/>
                <w:color w:val="000000"/>
                <w:sz w:val="24"/>
              </w:rPr>
              <w:t>工作机制</w:t>
            </w:r>
          </w:p>
          <w:p>
            <w:pPr>
              <w:spacing w:line="280" w:lineRule="exact"/>
              <w:jc w:val="center"/>
              <w:rPr>
                <w:color w:val="000000"/>
                <w:sz w:val="24"/>
              </w:rPr>
            </w:pPr>
            <w:r>
              <w:rPr>
                <w:color w:val="000000"/>
                <w:sz w:val="24"/>
              </w:rPr>
              <w:t>6</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tc>
        <w:tc>
          <w:tcPr>
            <w:tcW w:w="5579" w:type="dxa"/>
            <w:tcBorders>
              <w:bottom w:val="single" w:color="auto" w:sz="4" w:space="0"/>
            </w:tcBorders>
            <w:noWrap/>
            <w:vAlign w:val="center"/>
          </w:tcPr>
          <w:p>
            <w:pPr>
              <w:spacing w:line="270" w:lineRule="exact"/>
              <w:rPr>
                <w:rFonts w:ascii="仿宋_GB2312" w:hAnsi="宋体" w:eastAsia="仿宋_GB2312"/>
                <w:color w:val="000000"/>
                <w:kern w:val="0"/>
                <w:szCs w:val="21"/>
              </w:rPr>
            </w:pPr>
          </w:p>
          <w:p>
            <w:pPr>
              <w:spacing w:line="270" w:lineRule="exact"/>
              <w:rPr>
                <w:rFonts w:ascii="仿宋_GB2312" w:hAnsi="宋体" w:eastAsia="仿宋_GB2312"/>
                <w:color w:val="000000"/>
                <w:kern w:val="0"/>
                <w:szCs w:val="21"/>
              </w:rPr>
            </w:pPr>
            <w:r>
              <w:rPr>
                <w:rFonts w:hint="eastAsia" w:ascii="仿宋_GB2312" w:hAnsi="宋体" w:eastAsia="仿宋_GB2312"/>
                <w:color w:val="000000"/>
                <w:kern w:val="0"/>
                <w:szCs w:val="21"/>
              </w:rPr>
              <w:t>建立健全工作制度，完成律师事务所章程修订工作，写入党建工作相关内容，明确党组织在律师队伍建设、律师事务所发展管理中的政治把关作用。</w:t>
            </w:r>
          </w:p>
          <w:p>
            <w:pPr>
              <w:spacing w:line="270" w:lineRule="exact"/>
              <w:rPr>
                <w:color w:val="000000"/>
                <w:sz w:val="24"/>
              </w:rPr>
            </w:pPr>
          </w:p>
        </w:tc>
        <w:tc>
          <w:tcPr>
            <w:tcW w:w="836" w:type="dxa"/>
            <w:tcBorders>
              <w:bottom w:val="single" w:color="auto" w:sz="4" w:space="0"/>
            </w:tcBorders>
            <w:noWrap/>
            <w:vAlign w:val="center"/>
          </w:tcPr>
          <w:p>
            <w:pPr>
              <w:spacing w:line="270" w:lineRule="exact"/>
              <w:jc w:val="center"/>
              <w:rPr>
                <w:color w:val="000000"/>
                <w:sz w:val="24"/>
              </w:rPr>
            </w:pPr>
            <w:r>
              <w:rPr>
                <w:rFonts w:hint="eastAsia"/>
                <w:color w:val="000000"/>
                <w:sz w:val="24"/>
              </w:rPr>
              <w:t>2</w:t>
            </w:r>
          </w:p>
        </w:tc>
        <w:tc>
          <w:tcPr>
            <w:tcW w:w="840" w:type="dxa"/>
            <w:tcBorders>
              <w:bottom w:val="single" w:color="auto" w:sz="4" w:space="0"/>
            </w:tcBorders>
            <w:noWrap/>
            <w:vAlign w:val="center"/>
          </w:tcPr>
          <w:p>
            <w:pPr>
              <w:spacing w:line="270" w:lineRule="exact"/>
              <w:jc w:val="center"/>
              <w:rPr>
                <w:color w:val="000000"/>
                <w:sz w:val="24"/>
              </w:rPr>
            </w:pPr>
          </w:p>
        </w:tc>
        <w:tc>
          <w:tcPr>
            <w:tcW w:w="742" w:type="dxa"/>
            <w:tcBorders>
              <w:bottom w:val="single" w:color="auto" w:sz="4" w:space="0"/>
              <w:right w:val="single" w:color="auto" w:sz="4" w:space="0"/>
            </w:tcBorders>
            <w:noWrap/>
            <w:vAlign w:val="center"/>
          </w:tcPr>
          <w:p>
            <w:pPr>
              <w:spacing w:line="270" w:lineRule="exact"/>
              <w:jc w:val="center"/>
              <w:rPr>
                <w:color w:val="000000"/>
                <w:sz w:val="24"/>
              </w:rPr>
            </w:pPr>
          </w:p>
        </w:tc>
        <w:tc>
          <w:tcPr>
            <w:tcW w:w="4826" w:type="dxa"/>
            <w:tcBorders>
              <w:left w:val="single" w:color="auto" w:sz="4" w:space="0"/>
              <w:bottom w:val="single" w:color="auto" w:sz="4" w:space="0"/>
            </w:tcBorders>
            <w:noWrap/>
            <w:vAlign w:val="center"/>
          </w:tcPr>
          <w:p>
            <w:pPr>
              <w:spacing w:line="300" w:lineRule="exact"/>
              <w:ind w:left="-63" w:leftChars="-30" w:right="-63" w:rightChars="-30" w:firstLine="105" w:firstLineChars="50"/>
              <w:jc w:val="left"/>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：查看会议记录和相关资料。</w:t>
            </w:r>
          </w:p>
          <w:p>
            <w:pPr>
              <w:spacing w:line="270" w:lineRule="exact"/>
              <w:ind w:left="42" w:leftChars="20" w:right="-63" w:rightChars="-30"/>
              <w:jc w:val="left"/>
              <w:rPr>
                <w:rFonts w:ascii="仿宋_GB2312" w:hAnsi="宋体" w:eastAsia="仿宋_GB2312"/>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未将党建工作写入律师事务所章程扣2分；已写入章程但未明确党组织设置形式、地位作用、职责任务的扣1分。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0" w:hRule="atLeast"/>
        </w:trPr>
        <w:tc>
          <w:tcPr>
            <w:tcW w:w="516" w:type="dxa"/>
            <w:vMerge w:val="continue"/>
            <w:noWrap/>
            <w:vAlign w:val="center"/>
          </w:tcPr>
          <w:p>
            <w:pPr>
              <w:spacing w:line="280" w:lineRule="exact"/>
              <w:jc w:val="center"/>
              <w:rPr>
                <w:color w:val="000000"/>
                <w:sz w:val="24"/>
              </w:rPr>
            </w:pPr>
          </w:p>
        </w:tc>
        <w:tc>
          <w:tcPr>
            <w:tcW w:w="868" w:type="dxa"/>
            <w:vMerge w:val="continue"/>
            <w:tcBorders>
              <w:top w:val="single" w:color="auto" w:sz="4" w:space="0"/>
              <w:right w:val="single" w:color="auto" w:sz="4" w:space="0"/>
            </w:tcBorders>
            <w:noWrap/>
            <w:vAlign w:val="center"/>
          </w:tcPr>
          <w:p>
            <w:pPr>
              <w:spacing w:line="280" w:lineRule="exact"/>
              <w:jc w:val="center"/>
              <w:rPr>
                <w:color w:val="000000"/>
                <w:sz w:val="24"/>
              </w:rPr>
            </w:pPr>
          </w:p>
        </w:tc>
        <w:tc>
          <w:tcPr>
            <w:tcW w:w="5579" w:type="dxa"/>
            <w:tcBorders>
              <w:top w:val="single" w:color="auto" w:sz="4" w:space="0"/>
              <w:bottom w:val="single" w:color="auto" w:sz="4" w:space="0"/>
            </w:tcBorders>
            <w:noWrap/>
            <w:vAlign w:val="center"/>
          </w:tcPr>
          <w:p>
            <w:pPr>
              <w:spacing w:line="270" w:lineRule="exact"/>
              <w:rPr>
                <w:rFonts w:ascii="仿宋_GB2312" w:hAnsi="宋体" w:eastAsia="仿宋_GB2312"/>
                <w:color w:val="000000"/>
                <w:kern w:val="0"/>
                <w:szCs w:val="21"/>
              </w:rPr>
            </w:pPr>
          </w:p>
          <w:p>
            <w:pPr>
              <w:spacing w:line="270" w:lineRule="exact"/>
              <w:rPr>
                <w:rFonts w:ascii="仿宋_GB2312" w:hAnsi="宋体" w:eastAsia="仿宋_GB2312"/>
                <w:color w:val="000000"/>
                <w:kern w:val="0"/>
                <w:szCs w:val="21"/>
              </w:rPr>
            </w:pPr>
            <w:r>
              <w:rPr>
                <w:rFonts w:hint="eastAsia" w:ascii="仿宋_GB2312" w:hAnsi="宋体" w:eastAsia="仿宋_GB2312"/>
                <w:color w:val="000000"/>
                <w:kern w:val="0"/>
                <w:szCs w:val="21"/>
              </w:rPr>
              <w:t>律师事务所主要负责人是党员的须同时兼任党组织负责人；律师事务所主要负责人不是党员的，应由本所高级合伙人、主要管理人员中的党员担任党组织负责人；建立党组织与律师事务所决策管理层重大问题会商、重要情况通报、重要会议列席制度，党组织负责人不是合伙人的，合伙人会议主动邀请党组织负责人列席，党组织负责人应当参加或者列席决策管理层会议。</w:t>
            </w:r>
          </w:p>
        </w:tc>
        <w:tc>
          <w:tcPr>
            <w:tcW w:w="836" w:type="dxa"/>
            <w:tcBorders>
              <w:top w:val="single" w:color="auto" w:sz="4" w:space="0"/>
              <w:bottom w:val="single" w:color="auto" w:sz="4" w:space="0"/>
            </w:tcBorders>
            <w:noWrap/>
            <w:vAlign w:val="center"/>
          </w:tcPr>
          <w:p>
            <w:pPr>
              <w:spacing w:line="270" w:lineRule="exact"/>
              <w:jc w:val="center"/>
              <w:rPr>
                <w:color w:val="000000"/>
                <w:sz w:val="24"/>
              </w:rPr>
            </w:pPr>
            <w:r>
              <w:rPr>
                <w:color w:val="000000"/>
                <w:sz w:val="24"/>
              </w:rPr>
              <w:t>2</w:t>
            </w:r>
          </w:p>
        </w:tc>
        <w:tc>
          <w:tcPr>
            <w:tcW w:w="840" w:type="dxa"/>
            <w:tcBorders>
              <w:top w:val="single" w:color="auto" w:sz="4" w:space="0"/>
              <w:bottom w:val="single" w:color="auto" w:sz="4" w:space="0"/>
            </w:tcBorders>
            <w:noWrap/>
            <w:vAlign w:val="center"/>
          </w:tcPr>
          <w:p>
            <w:pPr>
              <w:spacing w:line="270" w:lineRule="exact"/>
              <w:jc w:val="center"/>
              <w:rPr>
                <w:color w:val="000000"/>
                <w:sz w:val="24"/>
              </w:rPr>
            </w:pPr>
          </w:p>
        </w:tc>
        <w:tc>
          <w:tcPr>
            <w:tcW w:w="742" w:type="dxa"/>
            <w:tcBorders>
              <w:top w:val="single" w:color="auto" w:sz="4" w:space="0"/>
              <w:bottom w:val="single" w:color="auto" w:sz="4" w:space="0"/>
              <w:right w:val="single" w:color="auto" w:sz="4" w:space="0"/>
            </w:tcBorders>
            <w:noWrap/>
            <w:vAlign w:val="center"/>
          </w:tcPr>
          <w:p>
            <w:pPr>
              <w:spacing w:line="270" w:lineRule="exact"/>
              <w:jc w:val="center"/>
              <w:rPr>
                <w:color w:val="000000"/>
                <w:sz w:val="24"/>
              </w:rPr>
            </w:pPr>
          </w:p>
        </w:tc>
        <w:tc>
          <w:tcPr>
            <w:tcW w:w="4826" w:type="dxa"/>
            <w:tcBorders>
              <w:top w:val="single" w:color="auto" w:sz="4" w:space="0"/>
              <w:left w:val="single" w:color="auto" w:sz="4" w:space="0"/>
              <w:bottom w:val="single" w:color="auto" w:sz="4" w:space="0"/>
            </w:tcBorders>
            <w:noWrap/>
            <w:vAlign w:val="center"/>
          </w:tcPr>
          <w:p>
            <w:pPr>
              <w:spacing w:line="27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：查看会议记录和相关资料。</w:t>
            </w:r>
          </w:p>
          <w:p>
            <w:pPr>
              <w:spacing w:line="270" w:lineRule="exact"/>
              <w:ind w:right="-63" w:rightChars="-30"/>
              <w:jc w:val="left"/>
              <w:rPr>
                <w:rFonts w:ascii="仿宋_GB2312" w:hAnsi="宋体" w:eastAsia="仿宋_GB2312"/>
                <w:b/>
                <w:bCs/>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律师事务所主要负责人是党员的没有同时兼任党组织负责人的扣</w:t>
            </w:r>
            <w:r>
              <w:rPr>
                <w:rFonts w:ascii="仿宋_GB2312" w:hAnsi="宋体" w:eastAsia="仿宋_GB2312"/>
                <w:color w:val="000000"/>
                <w:kern w:val="0"/>
                <w:szCs w:val="21"/>
              </w:rPr>
              <w:t>1</w:t>
            </w:r>
            <w:r>
              <w:rPr>
                <w:rFonts w:hint="eastAsia" w:ascii="仿宋_GB2312" w:hAnsi="宋体" w:eastAsia="仿宋_GB2312"/>
                <w:color w:val="000000"/>
                <w:kern w:val="0"/>
                <w:szCs w:val="21"/>
              </w:rPr>
              <w:t>分；党组织负责人不是主要合伙人或主要管理人员的扣</w:t>
            </w:r>
            <w:r>
              <w:rPr>
                <w:rFonts w:ascii="仿宋_GB2312" w:hAnsi="宋体" w:eastAsia="仿宋_GB2312"/>
                <w:color w:val="000000"/>
                <w:kern w:val="0"/>
                <w:szCs w:val="21"/>
              </w:rPr>
              <w:t>1</w:t>
            </w:r>
            <w:r>
              <w:rPr>
                <w:rFonts w:hint="eastAsia" w:ascii="仿宋_GB2312" w:hAnsi="宋体" w:eastAsia="仿宋_GB2312"/>
                <w:color w:val="000000"/>
                <w:kern w:val="0"/>
                <w:szCs w:val="21"/>
              </w:rPr>
              <w:t>分；无会商通报相关制度扣1分。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bottom w:val="single" w:color="auto" w:sz="4" w:space="0"/>
              <w:right w:val="single" w:color="auto" w:sz="4" w:space="0"/>
            </w:tcBorders>
            <w:noWrap/>
            <w:vAlign w:val="center"/>
          </w:tcPr>
          <w:p>
            <w:pPr>
              <w:spacing w:line="280" w:lineRule="exact"/>
              <w:jc w:val="center"/>
              <w:rPr>
                <w:color w:val="000000"/>
                <w:sz w:val="24"/>
              </w:rPr>
            </w:pPr>
          </w:p>
        </w:tc>
        <w:tc>
          <w:tcPr>
            <w:tcW w:w="5579" w:type="dxa"/>
            <w:tcBorders>
              <w:top w:val="single" w:color="auto" w:sz="4" w:space="0"/>
            </w:tcBorders>
            <w:noWrap/>
            <w:vAlign w:val="center"/>
          </w:tcPr>
          <w:p>
            <w:pPr>
              <w:spacing w:line="270" w:lineRule="exact"/>
              <w:rPr>
                <w:rFonts w:ascii="仿宋_GB2312" w:hAnsi="宋体" w:eastAsia="仿宋_GB2312"/>
                <w:color w:val="000000"/>
                <w:kern w:val="0"/>
                <w:szCs w:val="21"/>
              </w:rPr>
            </w:pPr>
            <w:r>
              <w:rPr>
                <w:rFonts w:hint="eastAsia" w:ascii="仿宋_GB2312" w:hAnsi="宋体" w:eastAsia="仿宋_GB2312"/>
                <w:color w:val="000000"/>
                <w:kern w:val="0"/>
                <w:szCs w:val="21"/>
              </w:rPr>
              <w:t xml:space="preserve">建立党内情况通报制度，积极推进党务公开，及时公布党内信息，收集反馈党员意见建议，接受党员律师和群众监督，提高党员对党内事务的参与度；建立党建经费保障机制，将党建费用纳入律师事务所管理费用列支，经费使用透明合理。  </w:t>
            </w:r>
          </w:p>
        </w:tc>
        <w:tc>
          <w:tcPr>
            <w:tcW w:w="836" w:type="dxa"/>
            <w:tcBorders>
              <w:top w:val="single" w:color="auto" w:sz="4" w:space="0"/>
            </w:tcBorders>
            <w:noWrap/>
            <w:vAlign w:val="center"/>
          </w:tcPr>
          <w:p>
            <w:pPr>
              <w:spacing w:line="270" w:lineRule="exact"/>
              <w:jc w:val="center"/>
              <w:rPr>
                <w:color w:val="000000"/>
                <w:sz w:val="24"/>
              </w:rPr>
            </w:pPr>
            <w:r>
              <w:rPr>
                <w:rFonts w:hint="eastAsia"/>
                <w:color w:val="000000"/>
                <w:sz w:val="24"/>
              </w:rPr>
              <w:t>2</w:t>
            </w:r>
          </w:p>
        </w:tc>
        <w:tc>
          <w:tcPr>
            <w:tcW w:w="840" w:type="dxa"/>
            <w:tcBorders>
              <w:top w:val="single" w:color="auto" w:sz="4" w:space="0"/>
            </w:tcBorders>
            <w:noWrap/>
            <w:vAlign w:val="center"/>
          </w:tcPr>
          <w:p>
            <w:pPr>
              <w:spacing w:line="270" w:lineRule="exact"/>
              <w:jc w:val="center"/>
              <w:rPr>
                <w:color w:val="000000"/>
                <w:sz w:val="24"/>
              </w:rPr>
            </w:pPr>
          </w:p>
        </w:tc>
        <w:tc>
          <w:tcPr>
            <w:tcW w:w="742" w:type="dxa"/>
            <w:tcBorders>
              <w:top w:val="single" w:color="auto" w:sz="4" w:space="0"/>
              <w:right w:val="single" w:color="auto" w:sz="4" w:space="0"/>
            </w:tcBorders>
            <w:noWrap/>
            <w:vAlign w:val="center"/>
          </w:tcPr>
          <w:p>
            <w:pPr>
              <w:spacing w:line="270" w:lineRule="exact"/>
              <w:jc w:val="center"/>
              <w:rPr>
                <w:color w:val="000000"/>
                <w:sz w:val="24"/>
              </w:rPr>
            </w:pPr>
          </w:p>
        </w:tc>
        <w:tc>
          <w:tcPr>
            <w:tcW w:w="4826" w:type="dxa"/>
            <w:tcBorders>
              <w:top w:val="single" w:color="auto" w:sz="4" w:space="0"/>
              <w:left w:val="single" w:color="auto" w:sz="4" w:space="0"/>
              <w:bottom w:val="single" w:color="auto" w:sz="4" w:space="0"/>
            </w:tcBorders>
            <w:noWrap/>
            <w:vAlign w:val="center"/>
          </w:tcPr>
          <w:p>
            <w:pPr>
              <w:spacing w:line="27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：查看会议记录和相关资料。</w:t>
            </w:r>
          </w:p>
          <w:p>
            <w:pPr>
              <w:spacing w:line="270" w:lineRule="exact"/>
              <w:rPr>
                <w:color w:val="000000"/>
                <w:sz w:val="24"/>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无党内情况通报制度扣1分；未将党建费用纳入律师事务所管理费用扣</w:t>
            </w:r>
            <w:r>
              <w:rPr>
                <w:rFonts w:ascii="仿宋_GB2312" w:hAnsi="宋体" w:eastAsia="仿宋_GB2312"/>
                <w:color w:val="000000"/>
                <w:kern w:val="0"/>
                <w:szCs w:val="21"/>
              </w:rPr>
              <w:t>1</w:t>
            </w:r>
            <w:r>
              <w:rPr>
                <w:rFonts w:hint="eastAsia" w:ascii="仿宋_GB2312" w:hAnsi="宋体" w:eastAsia="仿宋_GB2312"/>
                <w:color w:val="00000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restart"/>
            <w:tcBorders>
              <w:top w:val="single" w:color="auto" w:sz="4" w:space="0"/>
              <w:right w:val="single" w:color="auto" w:sz="4" w:space="0"/>
            </w:tcBorders>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组织生活</w:t>
            </w:r>
          </w:p>
          <w:p>
            <w:pPr>
              <w:spacing w:line="280" w:lineRule="exact"/>
              <w:jc w:val="center"/>
              <w:rPr>
                <w:color w:val="000000"/>
                <w:sz w:val="24"/>
              </w:rPr>
            </w:pPr>
            <w:r>
              <w:rPr>
                <w:color w:val="000000"/>
                <w:sz w:val="24"/>
              </w:rPr>
              <w:t>9</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5579" w:type="dxa"/>
            <w:noWrap/>
            <w:vAlign w:val="center"/>
          </w:tcPr>
          <w:p>
            <w:pPr>
              <w:spacing w:line="270" w:lineRule="exact"/>
              <w:rPr>
                <w:color w:val="000000"/>
                <w:sz w:val="24"/>
              </w:rPr>
            </w:pPr>
            <w:r>
              <w:rPr>
                <w:rFonts w:hint="eastAsia" w:ascii="仿宋_GB2312" w:hAnsi="宋体" w:eastAsia="仿宋_GB2312"/>
                <w:color w:val="000000"/>
                <w:kern w:val="0"/>
                <w:szCs w:val="21"/>
              </w:rPr>
              <w:t>党支部党员大会一般每季度召开l次，党支部委员会会议一般每月召开l次，党小组会一般每月召开l次。律师事务所党组织负责人每年至少讲1次党课。</w:t>
            </w:r>
          </w:p>
        </w:tc>
        <w:tc>
          <w:tcPr>
            <w:tcW w:w="836" w:type="dxa"/>
            <w:noWrap/>
            <w:vAlign w:val="center"/>
          </w:tcPr>
          <w:p>
            <w:pPr>
              <w:spacing w:line="270" w:lineRule="exact"/>
              <w:jc w:val="center"/>
              <w:rPr>
                <w:color w:val="000000"/>
                <w:sz w:val="24"/>
              </w:rPr>
            </w:pPr>
            <w:r>
              <w:rPr>
                <w:rFonts w:hint="eastAsia"/>
                <w:color w:val="000000"/>
                <w:sz w:val="24"/>
              </w:rPr>
              <w:t>2</w:t>
            </w:r>
          </w:p>
        </w:tc>
        <w:tc>
          <w:tcPr>
            <w:tcW w:w="840" w:type="dxa"/>
            <w:noWrap/>
            <w:vAlign w:val="center"/>
          </w:tcPr>
          <w:p>
            <w:pPr>
              <w:spacing w:line="270" w:lineRule="exact"/>
              <w:jc w:val="center"/>
              <w:rPr>
                <w:color w:val="000000"/>
                <w:sz w:val="24"/>
              </w:rPr>
            </w:pPr>
          </w:p>
        </w:tc>
        <w:tc>
          <w:tcPr>
            <w:tcW w:w="742" w:type="dxa"/>
            <w:tcBorders>
              <w:right w:val="single" w:color="auto" w:sz="4" w:space="0"/>
            </w:tcBorders>
            <w:noWrap/>
            <w:vAlign w:val="center"/>
          </w:tcPr>
          <w:p>
            <w:pPr>
              <w:spacing w:line="270" w:lineRule="exact"/>
              <w:jc w:val="center"/>
              <w:rPr>
                <w:color w:val="000000"/>
                <w:sz w:val="24"/>
              </w:rPr>
            </w:pPr>
          </w:p>
        </w:tc>
        <w:tc>
          <w:tcPr>
            <w:tcW w:w="4826" w:type="dxa"/>
            <w:tcBorders>
              <w:left w:val="single" w:color="auto" w:sz="4" w:space="0"/>
            </w:tcBorders>
            <w:noWrap/>
            <w:vAlign w:val="center"/>
          </w:tcPr>
          <w:p>
            <w:pPr>
              <w:spacing w:line="27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：查看会议记录和相关资料，访谈律师。</w:t>
            </w:r>
          </w:p>
          <w:p>
            <w:pPr>
              <w:spacing w:line="270" w:lineRule="exact"/>
              <w:rPr>
                <w:color w:val="000000"/>
                <w:sz w:val="24"/>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未开展“三会一课”的扣</w:t>
            </w:r>
            <w:r>
              <w:rPr>
                <w:rFonts w:ascii="仿宋_GB2312" w:hAnsi="宋体" w:eastAsia="仿宋_GB2312"/>
                <w:color w:val="000000"/>
                <w:kern w:val="0"/>
                <w:szCs w:val="21"/>
              </w:rPr>
              <w:t>2</w:t>
            </w:r>
            <w:r>
              <w:rPr>
                <w:rFonts w:hint="eastAsia" w:ascii="仿宋_GB2312" w:hAnsi="宋体" w:eastAsia="仿宋_GB2312"/>
                <w:color w:val="000000"/>
                <w:kern w:val="0"/>
                <w:szCs w:val="21"/>
              </w:rPr>
              <w:t>分，开展“三会一课”未达到要求的扣1分；律师事务所党组织负责人未带头讲党课的扣1分。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left w:val="single" w:color="auto" w:sz="4" w:space="0"/>
            </w:tcBorders>
            <w:noWrap/>
            <w:vAlign w:val="center"/>
          </w:tcPr>
          <w:p>
            <w:pPr>
              <w:spacing w:line="270" w:lineRule="exact"/>
              <w:rPr>
                <w:rFonts w:eastAsia="仿宋_GB2312"/>
                <w:color w:val="000000"/>
                <w:sz w:val="24"/>
              </w:rPr>
            </w:pPr>
            <w:r>
              <w:rPr>
                <w:rFonts w:hint="eastAsia" w:ascii="仿宋_GB2312" w:hAnsi="宋体" w:eastAsia="仿宋_GB2312"/>
                <w:color w:val="000000"/>
                <w:kern w:val="0"/>
                <w:szCs w:val="21"/>
              </w:rPr>
              <w:t>律所党组织每年至少召开1次组织生活会，民主评议党员每年开展l次。</w:t>
            </w:r>
          </w:p>
        </w:tc>
        <w:tc>
          <w:tcPr>
            <w:tcW w:w="836" w:type="dxa"/>
            <w:noWrap/>
            <w:vAlign w:val="center"/>
          </w:tcPr>
          <w:p>
            <w:pPr>
              <w:spacing w:line="270" w:lineRule="exact"/>
              <w:jc w:val="center"/>
              <w:rPr>
                <w:color w:val="000000"/>
                <w:sz w:val="24"/>
              </w:rPr>
            </w:pPr>
            <w:r>
              <w:rPr>
                <w:rFonts w:hint="eastAsia"/>
                <w:color w:val="000000"/>
                <w:sz w:val="24"/>
              </w:rPr>
              <w:t>2</w:t>
            </w:r>
          </w:p>
        </w:tc>
        <w:tc>
          <w:tcPr>
            <w:tcW w:w="840" w:type="dxa"/>
            <w:noWrap/>
            <w:vAlign w:val="center"/>
          </w:tcPr>
          <w:p>
            <w:pPr>
              <w:spacing w:line="270" w:lineRule="exact"/>
              <w:jc w:val="center"/>
              <w:rPr>
                <w:color w:val="000000"/>
                <w:sz w:val="24"/>
              </w:rPr>
            </w:pPr>
          </w:p>
        </w:tc>
        <w:tc>
          <w:tcPr>
            <w:tcW w:w="742" w:type="dxa"/>
            <w:tcBorders>
              <w:right w:val="single" w:color="auto" w:sz="4" w:space="0"/>
            </w:tcBorders>
            <w:noWrap/>
            <w:vAlign w:val="center"/>
          </w:tcPr>
          <w:p>
            <w:pPr>
              <w:spacing w:line="270" w:lineRule="exact"/>
              <w:jc w:val="center"/>
              <w:rPr>
                <w:color w:val="000000"/>
                <w:sz w:val="24"/>
              </w:rPr>
            </w:pPr>
          </w:p>
        </w:tc>
        <w:tc>
          <w:tcPr>
            <w:tcW w:w="4826" w:type="dxa"/>
            <w:tcBorders>
              <w:left w:val="single" w:color="auto" w:sz="4" w:space="0"/>
            </w:tcBorders>
            <w:noWrap/>
            <w:vAlign w:val="center"/>
          </w:tcPr>
          <w:p>
            <w:pPr>
              <w:spacing w:line="27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：查看会议记录和相关资料，访谈律师。</w:t>
            </w:r>
          </w:p>
          <w:p>
            <w:pPr>
              <w:spacing w:line="270" w:lineRule="exact"/>
              <w:rPr>
                <w:color w:val="000000"/>
                <w:sz w:val="24"/>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未召开组织生活会的扣1分；未开展民主评议党员的扣1分。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left w:val="single" w:color="auto" w:sz="4" w:space="0"/>
            </w:tcBorders>
            <w:noWrap/>
            <w:vAlign w:val="center"/>
          </w:tcPr>
          <w:p>
            <w:pPr>
              <w:spacing w:line="270" w:lineRule="exact"/>
              <w:rPr>
                <w:rFonts w:ascii="仿宋_GB2312" w:hAnsi="宋体" w:eastAsia="仿宋_GB2312"/>
                <w:color w:val="000000"/>
                <w:kern w:val="0"/>
                <w:szCs w:val="21"/>
              </w:rPr>
            </w:pPr>
            <w:r>
              <w:rPr>
                <w:rFonts w:hint="eastAsia" w:ascii="仿宋_GB2312" w:hAnsi="宋体" w:eastAsia="仿宋_GB2312"/>
                <w:color w:val="000000"/>
                <w:kern w:val="0"/>
                <w:szCs w:val="21"/>
              </w:rPr>
              <w:t xml:space="preserve">党支部委员之间、党支部委员和党员之间、党员和党员之间，每年谈心谈话不少于1次；党支部每月相对固定1天开展主题党日活动，律师党员团结和联系3—5名非党员律师和律师事务所行政辅助人员，共同开展。 </w:t>
            </w:r>
          </w:p>
          <w:p>
            <w:pPr>
              <w:spacing w:line="270" w:lineRule="exact"/>
              <w:rPr>
                <w:color w:val="000000"/>
                <w:sz w:val="24"/>
              </w:rPr>
            </w:pPr>
          </w:p>
        </w:tc>
        <w:tc>
          <w:tcPr>
            <w:tcW w:w="836" w:type="dxa"/>
            <w:noWrap/>
            <w:vAlign w:val="center"/>
          </w:tcPr>
          <w:p>
            <w:pPr>
              <w:spacing w:line="270" w:lineRule="exact"/>
              <w:jc w:val="center"/>
              <w:rPr>
                <w:color w:val="000000"/>
                <w:sz w:val="24"/>
              </w:rPr>
            </w:pPr>
            <w:r>
              <w:rPr>
                <w:rFonts w:hint="eastAsia"/>
                <w:color w:val="000000"/>
                <w:sz w:val="24"/>
              </w:rPr>
              <w:t>3</w:t>
            </w:r>
          </w:p>
        </w:tc>
        <w:tc>
          <w:tcPr>
            <w:tcW w:w="840" w:type="dxa"/>
            <w:noWrap/>
            <w:vAlign w:val="center"/>
          </w:tcPr>
          <w:p>
            <w:pPr>
              <w:spacing w:line="270" w:lineRule="exact"/>
              <w:jc w:val="center"/>
              <w:rPr>
                <w:color w:val="000000"/>
                <w:sz w:val="24"/>
              </w:rPr>
            </w:pPr>
          </w:p>
        </w:tc>
        <w:tc>
          <w:tcPr>
            <w:tcW w:w="742" w:type="dxa"/>
            <w:tcBorders>
              <w:right w:val="single" w:color="auto" w:sz="4" w:space="0"/>
            </w:tcBorders>
            <w:noWrap/>
            <w:vAlign w:val="center"/>
          </w:tcPr>
          <w:p>
            <w:pPr>
              <w:spacing w:line="270" w:lineRule="exact"/>
              <w:jc w:val="center"/>
              <w:rPr>
                <w:color w:val="000000"/>
                <w:sz w:val="24"/>
              </w:rPr>
            </w:pPr>
          </w:p>
        </w:tc>
        <w:tc>
          <w:tcPr>
            <w:tcW w:w="4826" w:type="dxa"/>
            <w:tcBorders>
              <w:left w:val="single" w:color="auto" w:sz="4" w:space="0"/>
            </w:tcBorders>
            <w:noWrap/>
            <w:vAlign w:val="center"/>
          </w:tcPr>
          <w:p>
            <w:pPr>
              <w:spacing w:line="27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：查看会议记录和相关资料，访谈律师。</w:t>
            </w:r>
          </w:p>
          <w:p>
            <w:pPr>
              <w:spacing w:line="270" w:lineRule="exact"/>
              <w:rPr>
                <w:color w:val="000000"/>
                <w:sz w:val="24"/>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未开展谈心谈话扣1分；未组织主题党日活动扣1分；未建立党员联系群众机制扣1分。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left w:val="single" w:color="auto" w:sz="4" w:space="0"/>
            </w:tcBorders>
            <w:noWrap/>
            <w:vAlign w:val="center"/>
          </w:tcPr>
          <w:p>
            <w:pPr>
              <w:spacing w:line="270" w:lineRule="exact"/>
              <w:rPr>
                <w:rFonts w:ascii="仿宋_GB2312" w:hAnsi="宋体" w:eastAsia="仿宋_GB2312"/>
                <w:color w:val="000000"/>
                <w:kern w:val="0"/>
                <w:szCs w:val="21"/>
              </w:rPr>
            </w:pPr>
            <w:r>
              <w:rPr>
                <w:rFonts w:hint="eastAsia" w:ascii="仿宋_GB2312" w:hAnsi="宋体" w:eastAsia="仿宋_GB2312"/>
                <w:color w:val="000000"/>
                <w:kern w:val="0"/>
                <w:szCs w:val="21"/>
              </w:rPr>
              <w:t>创新活动形式，把党组织活动融入律师事务所执业活动、日常管理、文化建设中，大力推行“智慧党建”模式，依托“学习强国”“红星云”等网络资源构建党员与组织沟通交流的互动平台。</w:t>
            </w:r>
          </w:p>
        </w:tc>
        <w:tc>
          <w:tcPr>
            <w:tcW w:w="836" w:type="dxa"/>
            <w:noWrap/>
            <w:vAlign w:val="center"/>
          </w:tcPr>
          <w:p>
            <w:pPr>
              <w:spacing w:line="270" w:lineRule="exact"/>
              <w:jc w:val="center"/>
              <w:rPr>
                <w:color w:val="000000"/>
                <w:sz w:val="24"/>
              </w:rPr>
            </w:pPr>
            <w:r>
              <w:rPr>
                <w:rFonts w:hint="eastAsia"/>
                <w:color w:val="000000"/>
                <w:sz w:val="24"/>
              </w:rPr>
              <w:t>2</w:t>
            </w:r>
          </w:p>
        </w:tc>
        <w:tc>
          <w:tcPr>
            <w:tcW w:w="840" w:type="dxa"/>
            <w:noWrap/>
            <w:vAlign w:val="center"/>
          </w:tcPr>
          <w:p>
            <w:pPr>
              <w:spacing w:line="270" w:lineRule="exact"/>
              <w:jc w:val="center"/>
              <w:rPr>
                <w:color w:val="000000"/>
                <w:sz w:val="24"/>
              </w:rPr>
            </w:pPr>
          </w:p>
        </w:tc>
        <w:tc>
          <w:tcPr>
            <w:tcW w:w="742" w:type="dxa"/>
            <w:tcBorders>
              <w:right w:val="single" w:color="auto" w:sz="4" w:space="0"/>
            </w:tcBorders>
            <w:noWrap/>
            <w:vAlign w:val="center"/>
          </w:tcPr>
          <w:p>
            <w:pPr>
              <w:spacing w:line="270" w:lineRule="exact"/>
              <w:jc w:val="center"/>
              <w:rPr>
                <w:color w:val="000000"/>
                <w:sz w:val="24"/>
              </w:rPr>
            </w:pPr>
          </w:p>
        </w:tc>
        <w:tc>
          <w:tcPr>
            <w:tcW w:w="4826" w:type="dxa"/>
            <w:tcBorders>
              <w:left w:val="single" w:color="auto" w:sz="4" w:space="0"/>
            </w:tcBorders>
            <w:noWrap/>
            <w:vAlign w:val="center"/>
          </w:tcPr>
          <w:p>
            <w:pPr>
              <w:spacing w:line="270" w:lineRule="exact"/>
              <w:ind w:right="-63" w:rightChars="-30"/>
              <w:rPr>
                <w:rFonts w:ascii="仿宋_GB2312" w:hAnsi="宋体" w:eastAsia="仿宋_GB2312"/>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color w:val="000000"/>
                <w:kern w:val="0"/>
                <w:szCs w:val="21"/>
              </w:rPr>
              <w:t>：查看现场和相关资料，访谈律师。</w:t>
            </w:r>
          </w:p>
          <w:p>
            <w:pPr>
              <w:spacing w:line="270" w:lineRule="exact"/>
              <w:rPr>
                <w:rFonts w:ascii="仿宋_GB2312" w:hAnsi="宋体" w:eastAsia="仿宋_GB2312"/>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bCs/>
                <w:color w:val="000000"/>
                <w:kern w:val="0"/>
                <w:szCs w:val="21"/>
              </w:rPr>
              <w:t>党建工作无创新举措的扣1分；</w:t>
            </w:r>
            <w:r>
              <w:rPr>
                <w:rFonts w:hint="eastAsia" w:ascii="仿宋_GB2312" w:hAnsi="宋体" w:eastAsia="仿宋_GB2312"/>
                <w:color w:val="000000"/>
                <w:kern w:val="0"/>
                <w:szCs w:val="21"/>
              </w:rPr>
              <w:t>无党建工作与业务工作融合具体举措的或未依托党建“网上阵地”开展活动的，扣1分。</w:t>
            </w:r>
          </w:p>
          <w:p>
            <w:pPr>
              <w:spacing w:line="270" w:lineRule="exact"/>
              <w:rPr>
                <w:color w:val="000000"/>
                <w:sz w:val="24"/>
              </w:rPr>
            </w:pPr>
            <w:r>
              <w:rPr>
                <w:rFonts w:hint="eastAsia" w:ascii="仿宋_GB2312" w:hAnsi="宋体" w:eastAsia="仿宋_GB2312"/>
                <w:b/>
                <w:bCs/>
                <w:color w:val="000000"/>
                <w:kern w:val="0"/>
                <w:szCs w:val="21"/>
              </w:rPr>
              <w:t>加分项：</w:t>
            </w:r>
            <w:r>
              <w:rPr>
                <w:rFonts w:hint="eastAsia" w:ascii="仿宋_GB2312" w:hAnsi="宋体" w:eastAsia="仿宋_GB2312"/>
                <w:color w:val="000000"/>
                <w:kern w:val="0"/>
                <w:szCs w:val="21"/>
              </w:rPr>
              <w:t>年内律师事务所党组织推出党建工作创新举措，相关工作经</w:t>
            </w:r>
            <w:r>
              <w:rPr>
                <w:rFonts w:hint="eastAsia" w:ascii="仿宋_GB2312" w:hAnsi="宋体" w:eastAsia="仿宋_GB2312"/>
                <w:color w:val="000000"/>
                <w:spacing w:val="-4"/>
                <w:kern w:val="0"/>
                <w:szCs w:val="21"/>
              </w:rPr>
              <w:t>验被司法行政机关总结推广，或者被中央和省级主流新闻媒体刊播报道，根据经验推广范围和宣传报道层级酌情加1-</w:t>
            </w:r>
            <w:r>
              <w:rPr>
                <w:rFonts w:ascii="仿宋_GB2312" w:hAnsi="宋体" w:eastAsia="仿宋_GB2312"/>
                <w:color w:val="000000"/>
                <w:spacing w:val="-4"/>
                <w:kern w:val="0"/>
                <w:szCs w:val="21"/>
              </w:rPr>
              <w:t>3</w:t>
            </w:r>
            <w:r>
              <w:rPr>
                <w:rFonts w:hint="eastAsia" w:ascii="仿宋_GB2312" w:hAnsi="宋体" w:eastAsia="仿宋_GB2312"/>
                <w:color w:val="000000"/>
                <w:spacing w:val="-4"/>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0" w:hRule="atLeast"/>
        </w:trPr>
        <w:tc>
          <w:tcPr>
            <w:tcW w:w="516" w:type="dxa"/>
            <w:vMerge w:val="continue"/>
            <w:noWrap/>
            <w:vAlign w:val="center"/>
          </w:tcPr>
          <w:p>
            <w:pPr>
              <w:spacing w:line="280" w:lineRule="exact"/>
              <w:jc w:val="center"/>
              <w:rPr>
                <w:color w:val="000000"/>
                <w:sz w:val="24"/>
              </w:rPr>
            </w:pPr>
          </w:p>
        </w:tc>
        <w:tc>
          <w:tcPr>
            <w:tcW w:w="868" w:type="dxa"/>
            <w:vMerge w:val="restart"/>
            <w:tcBorders>
              <w:top w:val="nil"/>
            </w:tcBorders>
            <w:noWrap/>
            <w:vAlign w:val="center"/>
          </w:tcPr>
          <w:p>
            <w:pPr>
              <w:spacing w:line="280" w:lineRule="exact"/>
              <w:jc w:val="center"/>
              <w:rPr>
                <w:color w:val="000000"/>
                <w:sz w:val="24"/>
              </w:rPr>
            </w:pPr>
            <w:r>
              <w:rPr>
                <w:rFonts w:hint="eastAsia"/>
                <w:color w:val="000000"/>
                <w:sz w:val="24"/>
              </w:rPr>
              <w:t>党员管理</w:t>
            </w:r>
          </w:p>
          <w:p>
            <w:pPr>
              <w:spacing w:line="280" w:lineRule="exact"/>
              <w:jc w:val="center"/>
              <w:rPr>
                <w:color w:val="000000"/>
                <w:sz w:val="24"/>
              </w:rPr>
            </w:pPr>
            <w:r>
              <w:rPr>
                <w:color w:val="000000"/>
                <w:sz w:val="24"/>
              </w:rPr>
              <w:t>3</w:t>
            </w:r>
            <w:r>
              <w:rPr>
                <w:rFonts w:hint="eastAsia"/>
                <w:color w:val="000000"/>
                <w:sz w:val="24"/>
              </w:rPr>
              <w:t>分</w:t>
            </w:r>
          </w:p>
        </w:tc>
        <w:tc>
          <w:tcPr>
            <w:tcW w:w="5579" w:type="dxa"/>
            <w:noWrap/>
            <w:vAlign w:val="center"/>
          </w:tcPr>
          <w:p>
            <w:pPr>
              <w:spacing w:line="280" w:lineRule="exact"/>
              <w:rPr>
                <w:color w:val="000000"/>
                <w:sz w:val="24"/>
              </w:rPr>
            </w:pPr>
            <w:r>
              <w:rPr>
                <w:rFonts w:hint="eastAsia" w:ascii="仿宋_GB2312" w:hAnsi="宋体" w:eastAsia="仿宋_GB2312"/>
                <w:color w:val="000000"/>
                <w:kern w:val="0"/>
                <w:szCs w:val="21"/>
              </w:rPr>
              <w:t>及时督促、帮助党员律师按照执业关系接转组织关系，党员律师新申请执业或者转所时，必须同步申请接转党组织关系，确保将党员律师纳入本所党组织管理；建立党员名册，党支部记录本填写完整，发展党员、支部活动等基本台账健全，有专人管理档案，按年度做好党建工作图文资料收集整理工作。</w:t>
            </w:r>
          </w:p>
        </w:tc>
        <w:tc>
          <w:tcPr>
            <w:tcW w:w="836" w:type="dxa"/>
            <w:noWrap/>
            <w:vAlign w:val="center"/>
          </w:tcPr>
          <w:p>
            <w:pPr>
              <w:spacing w:line="280" w:lineRule="exact"/>
              <w:jc w:val="center"/>
              <w:rPr>
                <w:color w:val="000000"/>
                <w:sz w:val="24"/>
              </w:rPr>
            </w:pPr>
            <w:r>
              <w:rPr>
                <w:color w:val="000000"/>
                <w:sz w:val="24"/>
              </w:rPr>
              <w:t>1</w:t>
            </w:r>
          </w:p>
        </w:tc>
        <w:tc>
          <w:tcPr>
            <w:tcW w:w="840" w:type="dxa"/>
            <w:noWrap/>
            <w:vAlign w:val="center"/>
          </w:tcPr>
          <w:p>
            <w:pPr>
              <w:spacing w:line="280" w:lineRule="exact"/>
              <w:jc w:val="center"/>
              <w:rPr>
                <w:color w:val="000000"/>
                <w:sz w:val="24"/>
              </w:rPr>
            </w:pPr>
          </w:p>
        </w:tc>
        <w:tc>
          <w:tcPr>
            <w:tcW w:w="742" w:type="dxa"/>
            <w:tcBorders>
              <w:right w:val="single" w:color="auto" w:sz="4" w:space="0"/>
            </w:tcBorders>
            <w:noWrap/>
            <w:vAlign w:val="center"/>
          </w:tcPr>
          <w:p>
            <w:pPr>
              <w:spacing w:line="280" w:lineRule="exact"/>
              <w:jc w:val="center"/>
              <w:rPr>
                <w:color w:val="000000"/>
                <w:sz w:val="24"/>
              </w:rPr>
            </w:pPr>
          </w:p>
        </w:tc>
        <w:tc>
          <w:tcPr>
            <w:tcW w:w="4826" w:type="dxa"/>
            <w:tcBorders>
              <w:left w:val="single" w:color="auto" w:sz="4" w:space="0"/>
            </w:tcBorders>
            <w:noWrap/>
            <w:vAlign w:val="center"/>
          </w:tcPr>
          <w:p>
            <w:pPr>
              <w:spacing w:line="28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bCs/>
                <w:color w:val="000000"/>
                <w:kern w:val="0"/>
                <w:szCs w:val="21"/>
              </w:rPr>
              <w:t>查看现场和相关资料，访谈律师。</w:t>
            </w:r>
          </w:p>
          <w:p>
            <w:pPr>
              <w:spacing w:line="280" w:lineRule="exact"/>
              <w:rPr>
                <w:color w:val="000000"/>
                <w:sz w:val="24"/>
              </w:rPr>
            </w:pPr>
            <w:r>
              <w:rPr>
                <w:rFonts w:hint="eastAsia" w:ascii="仿宋_GB2312" w:hAnsi="宋体" w:eastAsia="仿宋_GB2312"/>
                <w:b/>
                <w:bCs/>
                <w:color w:val="000000"/>
                <w:kern w:val="0"/>
                <w:szCs w:val="21"/>
              </w:rPr>
              <w:t>扣分标准：</w:t>
            </w:r>
            <w:r>
              <w:rPr>
                <w:rFonts w:hint="eastAsia" w:ascii="仿宋_GB2312" w:hAnsi="宋体" w:eastAsia="仿宋_GB2312"/>
                <w:bCs/>
                <w:color w:val="000000"/>
                <w:kern w:val="0"/>
                <w:szCs w:val="21"/>
              </w:rPr>
              <w:t>组织关系转接落实不到位的扣0.5分；未建立台账或党员名册的扣0.5分。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5"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tcBorders>
              <w:bottom w:val="single" w:color="auto" w:sz="4" w:space="0"/>
            </w:tcBorders>
            <w:noWrap/>
            <w:vAlign w:val="center"/>
          </w:tcPr>
          <w:p>
            <w:pPr>
              <w:spacing w:line="280" w:lineRule="exact"/>
              <w:rPr>
                <w:color w:val="000000"/>
                <w:sz w:val="24"/>
              </w:rPr>
            </w:pPr>
            <w:r>
              <w:rPr>
                <w:rFonts w:hint="eastAsia" w:ascii="仿宋_GB2312" w:hAnsi="宋体" w:eastAsia="仿宋_GB2312"/>
                <w:color w:val="000000"/>
                <w:kern w:val="0"/>
                <w:szCs w:val="21"/>
              </w:rPr>
              <w:t>律师事务所律师执业信息公示栏中标明律师党员身份，律师党员在其办公桌上设置明显的党员标识，佩戴党徽，接受党内党外监督；全体党员主动、按时、足额交纳党费，党支部有专人负责党费收缴工作，党费使用和管理规范透明有序，每年按有关规定公布1次党费收缴和使用情况。</w:t>
            </w:r>
          </w:p>
        </w:tc>
        <w:tc>
          <w:tcPr>
            <w:tcW w:w="836" w:type="dxa"/>
            <w:tcBorders>
              <w:bottom w:val="single" w:color="auto" w:sz="4" w:space="0"/>
            </w:tcBorders>
            <w:noWrap/>
            <w:vAlign w:val="center"/>
          </w:tcPr>
          <w:p>
            <w:pPr>
              <w:spacing w:line="280" w:lineRule="exact"/>
              <w:jc w:val="center"/>
              <w:rPr>
                <w:color w:val="000000"/>
                <w:sz w:val="24"/>
              </w:rPr>
            </w:pPr>
            <w:r>
              <w:rPr>
                <w:color w:val="000000"/>
                <w:sz w:val="24"/>
              </w:rPr>
              <w:t>1</w:t>
            </w:r>
          </w:p>
        </w:tc>
        <w:tc>
          <w:tcPr>
            <w:tcW w:w="840" w:type="dxa"/>
            <w:tcBorders>
              <w:bottom w:val="single" w:color="auto" w:sz="4" w:space="0"/>
            </w:tcBorders>
            <w:noWrap/>
            <w:vAlign w:val="center"/>
          </w:tcPr>
          <w:p>
            <w:pPr>
              <w:spacing w:line="280" w:lineRule="exact"/>
              <w:jc w:val="center"/>
              <w:rPr>
                <w:color w:val="000000"/>
                <w:sz w:val="24"/>
              </w:rPr>
            </w:pPr>
          </w:p>
        </w:tc>
        <w:tc>
          <w:tcPr>
            <w:tcW w:w="742" w:type="dxa"/>
            <w:tcBorders>
              <w:bottom w:val="single" w:color="auto" w:sz="4" w:space="0"/>
              <w:right w:val="single" w:color="auto" w:sz="4" w:space="0"/>
            </w:tcBorders>
            <w:noWrap/>
            <w:vAlign w:val="center"/>
          </w:tcPr>
          <w:p>
            <w:pPr>
              <w:spacing w:line="280" w:lineRule="exact"/>
              <w:jc w:val="center"/>
              <w:rPr>
                <w:color w:val="000000"/>
                <w:sz w:val="24"/>
              </w:rPr>
            </w:pPr>
          </w:p>
        </w:tc>
        <w:tc>
          <w:tcPr>
            <w:tcW w:w="4826" w:type="dxa"/>
            <w:tcBorders>
              <w:left w:val="single" w:color="auto" w:sz="4" w:space="0"/>
              <w:bottom w:val="single" w:color="auto" w:sz="4" w:space="0"/>
            </w:tcBorders>
            <w:noWrap/>
            <w:vAlign w:val="center"/>
          </w:tcPr>
          <w:p>
            <w:pPr>
              <w:spacing w:line="28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bCs/>
                <w:color w:val="000000"/>
                <w:kern w:val="0"/>
                <w:szCs w:val="21"/>
              </w:rPr>
              <w:t>查看现场和相关资料，访谈律师。</w:t>
            </w:r>
          </w:p>
          <w:p>
            <w:pPr>
              <w:spacing w:line="280" w:lineRule="exact"/>
              <w:rPr>
                <w:color w:val="000000"/>
                <w:sz w:val="24"/>
              </w:rPr>
            </w:pPr>
            <w:r>
              <w:rPr>
                <w:rFonts w:hint="eastAsia" w:ascii="仿宋_GB2312" w:hAnsi="宋体" w:eastAsia="仿宋_GB2312"/>
                <w:b/>
                <w:bCs/>
                <w:color w:val="000000"/>
                <w:kern w:val="0"/>
                <w:szCs w:val="21"/>
              </w:rPr>
              <w:t>扣分标准：</w:t>
            </w:r>
            <w:r>
              <w:rPr>
                <w:rFonts w:hint="eastAsia" w:ascii="仿宋_GB2312" w:hAnsi="宋体" w:eastAsia="仿宋_GB2312"/>
                <w:bCs/>
                <w:color w:val="000000"/>
                <w:kern w:val="0"/>
                <w:szCs w:val="21"/>
              </w:rPr>
              <w:t>未设置党员标识或未佩戴党徽的扣0.5分；党费缴纳不规范的扣0.5分。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tcBorders>
              <w:top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hAnsi="宋体" w:eastAsia="仿宋_GB2312"/>
                <w:color w:val="000000"/>
                <w:kern w:val="0"/>
                <w:szCs w:val="21"/>
              </w:rPr>
              <w:t>对要求入党的积极分子进行教育和培养，做好经常性的发展党员工作。把政治标准放在首位，注重在骨干律师、青年律师和律师事务所管理决策层中发展党员，把党员律师培养成业务骨干和合伙人。</w:t>
            </w:r>
          </w:p>
        </w:tc>
        <w:tc>
          <w:tcPr>
            <w:tcW w:w="836" w:type="dxa"/>
            <w:tcBorders>
              <w:top w:val="single" w:color="auto" w:sz="4" w:space="0"/>
            </w:tcBorders>
            <w:noWrap/>
            <w:vAlign w:val="center"/>
          </w:tcPr>
          <w:p>
            <w:pPr>
              <w:spacing w:line="280" w:lineRule="exact"/>
              <w:jc w:val="center"/>
              <w:rPr>
                <w:color w:val="000000"/>
                <w:sz w:val="24"/>
              </w:rPr>
            </w:pPr>
            <w:r>
              <w:rPr>
                <w:rFonts w:hint="eastAsia"/>
                <w:color w:val="000000"/>
                <w:sz w:val="24"/>
              </w:rPr>
              <w:t>1</w:t>
            </w:r>
          </w:p>
        </w:tc>
        <w:tc>
          <w:tcPr>
            <w:tcW w:w="840" w:type="dxa"/>
            <w:tcBorders>
              <w:top w:val="single" w:color="auto" w:sz="4" w:space="0"/>
            </w:tcBorders>
            <w:noWrap/>
            <w:vAlign w:val="center"/>
          </w:tcPr>
          <w:p>
            <w:pPr>
              <w:spacing w:line="280" w:lineRule="exact"/>
              <w:jc w:val="center"/>
              <w:rPr>
                <w:color w:val="000000"/>
                <w:sz w:val="24"/>
              </w:rPr>
            </w:pPr>
          </w:p>
        </w:tc>
        <w:tc>
          <w:tcPr>
            <w:tcW w:w="742" w:type="dxa"/>
            <w:tcBorders>
              <w:top w:val="single" w:color="auto" w:sz="4" w:space="0"/>
              <w:right w:val="single" w:color="auto" w:sz="4" w:space="0"/>
            </w:tcBorders>
            <w:noWrap/>
            <w:vAlign w:val="center"/>
          </w:tcPr>
          <w:p>
            <w:pPr>
              <w:spacing w:line="280" w:lineRule="exact"/>
              <w:jc w:val="center"/>
              <w:rPr>
                <w:color w:val="000000"/>
                <w:sz w:val="24"/>
              </w:rPr>
            </w:pPr>
          </w:p>
        </w:tc>
        <w:tc>
          <w:tcPr>
            <w:tcW w:w="4826" w:type="dxa"/>
            <w:tcBorders>
              <w:top w:val="single" w:color="auto" w:sz="4" w:space="0"/>
              <w:left w:val="single" w:color="auto" w:sz="4" w:space="0"/>
            </w:tcBorders>
            <w:noWrap/>
            <w:vAlign w:val="center"/>
          </w:tcPr>
          <w:p>
            <w:pPr>
              <w:spacing w:line="280" w:lineRule="exact"/>
              <w:ind w:right="-63" w:rightChars="-30"/>
              <w:rPr>
                <w:rFonts w:ascii="仿宋_GB2312" w:hAnsi="宋体" w:eastAsia="仿宋_GB2312"/>
                <w:bCs/>
                <w:color w:val="000000"/>
                <w:kern w:val="0"/>
                <w:szCs w:val="21"/>
              </w:rPr>
            </w:pPr>
            <w:r>
              <w:rPr>
                <w:rFonts w:hint="eastAsia" w:ascii="仿宋_GB2312" w:hAnsi="宋体" w:eastAsia="仿宋_GB2312"/>
                <w:b/>
                <w:bCs/>
                <w:color w:val="000000"/>
                <w:kern w:val="0"/>
                <w:szCs w:val="21"/>
              </w:rPr>
              <w:t>考评方式：</w:t>
            </w:r>
            <w:r>
              <w:rPr>
                <w:rFonts w:hint="eastAsia" w:ascii="仿宋_GB2312" w:hAnsi="宋体" w:eastAsia="仿宋_GB2312"/>
                <w:bCs/>
                <w:color w:val="000000"/>
                <w:kern w:val="0"/>
                <w:szCs w:val="21"/>
              </w:rPr>
              <w:t>查看会议记录和相关资料，访谈律师。</w:t>
            </w:r>
          </w:p>
          <w:p>
            <w:pPr>
              <w:spacing w:line="28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color w:val="000000"/>
                <w:kern w:val="0"/>
                <w:szCs w:val="21"/>
              </w:rPr>
              <w:t>入党积极分子教育培养工作不规范或落实“双培工程”无具体举措的扣1分。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516" w:type="dxa"/>
            <w:vMerge w:val="restart"/>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基础建设</w:t>
            </w:r>
          </w:p>
          <w:p>
            <w:pPr>
              <w:spacing w:line="280" w:lineRule="exact"/>
              <w:jc w:val="center"/>
              <w:rPr>
                <w:color w:val="000000"/>
                <w:sz w:val="24"/>
              </w:rPr>
            </w:pPr>
            <w:r>
              <w:rPr>
                <w:rFonts w:hint="eastAsia"/>
                <w:color w:val="000000"/>
                <w:sz w:val="24"/>
              </w:rPr>
              <w:t>1</w:t>
            </w:r>
            <w:r>
              <w:rPr>
                <w:color w:val="000000"/>
                <w:sz w:val="24"/>
              </w:rPr>
              <w:t>4</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868" w:type="dxa"/>
            <w:vMerge w:val="restart"/>
            <w:noWrap/>
            <w:vAlign w:val="center"/>
          </w:tcPr>
          <w:p>
            <w:pPr>
              <w:spacing w:line="280" w:lineRule="exact"/>
              <w:jc w:val="center"/>
              <w:rPr>
                <w:color w:val="000000"/>
                <w:sz w:val="24"/>
              </w:rPr>
            </w:pPr>
            <w:r>
              <w:rPr>
                <w:rFonts w:hint="eastAsia"/>
                <w:color w:val="000000"/>
                <w:sz w:val="24"/>
              </w:rPr>
              <w:t>律</w:t>
            </w:r>
          </w:p>
          <w:p>
            <w:pPr>
              <w:spacing w:line="280" w:lineRule="exact"/>
              <w:jc w:val="center"/>
              <w:rPr>
                <w:color w:val="000000"/>
                <w:sz w:val="24"/>
              </w:rPr>
            </w:pPr>
            <w:r>
              <w:rPr>
                <w:rFonts w:hint="eastAsia"/>
                <w:color w:val="000000"/>
                <w:sz w:val="24"/>
              </w:rPr>
              <w:t>师</w:t>
            </w:r>
          </w:p>
          <w:p>
            <w:pPr>
              <w:spacing w:line="280" w:lineRule="exact"/>
              <w:jc w:val="center"/>
              <w:rPr>
                <w:color w:val="000000"/>
                <w:sz w:val="24"/>
              </w:rPr>
            </w:pPr>
            <w:r>
              <w:rPr>
                <w:rFonts w:hint="eastAsia"/>
                <w:color w:val="000000"/>
                <w:sz w:val="24"/>
              </w:rPr>
              <w:t>事</w:t>
            </w:r>
          </w:p>
          <w:p>
            <w:pPr>
              <w:spacing w:line="280" w:lineRule="exact"/>
              <w:jc w:val="center"/>
              <w:rPr>
                <w:color w:val="000000"/>
                <w:sz w:val="24"/>
              </w:rPr>
            </w:pPr>
            <w:r>
              <w:rPr>
                <w:rFonts w:hint="eastAsia"/>
                <w:color w:val="000000"/>
                <w:sz w:val="24"/>
              </w:rPr>
              <w:t>务</w:t>
            </w:r>
          </w:p>
          <w:p>
            <w:pPr>
              <w:spacing w:line="280" w:lineRule="exact"/>
              <w:jc w:val="center"/>
              <w:rPr>
                <w:color w:val="000000"/>
                <w:sz w:val="24"/>
              </w:rPr>
            </w:pPr>
            <w:r>
              <w:rPr>
                <w:rFonts w:hint="eastAsia"/>
                <w:color w:val="000000"/>
                <w:sz w:val="24"/>
              </w:rPr>
              <w:t>所</w:t>
            </w:r>
          </w:p>
          <w:p>
            <w:pPr>
              <w:spacing w:line="280" w:lineRule="exact"/>
              <w:jc w:val="center"/>
              <w:rPr>
                <w:color w:val="000000"/>
                <w:sz w:val="24"/>
              </w:rPr>
            </w:pPr>
            <w:r>
              <w:rPr>
                <w:rFonts w:hint="eastAsia"/>
                <w:color w:val="000000"/>
                <w:sz w:val="24"/>
              </w:rPr>
              <w:t>硬</w:t>
            </w:r>
          </w:p>
          <w:p>
            <w:pPr>
              <w:spacing w:line="280" w:lineRule="exact"/>
              <w:jc w:val="center"/>
              <w:rPr>
                <w:color w:val="000000"/>
                <w:sz w:val="24"/>
              </w:rPr>
            </w:pPr>
            <w:r>
              <w:rPr>
                <w:rFonts w:hint="eastAsia"/>
                <w:color w:val="000000"/>
                <w:sz w:val="24"/>
              </w:rPr>
              <w:t>件</w:t>
            </w:r>
          </w:p>
          <w:p>
            <w:pPr>
              <w:spacing w:line="280" w:lineRule="exact"/>
              <w:jc w:val="center"/>
              <w:rPr>
                <w:color w:val="000000"/>
                <w:sz w:val="24"/>
              </w:rPr>
            </w:pPr>
            <w:r>
              <w:rPr>
                <w:rFonts w:hint="eastAsia"/>
                <w:color w:val="000000"/>
                <w:sz w:val="24"/>
              </w:rPr>
              <w:t>建</w:t>
            </w:r>
          </w:p>
          <w:p>
            <w:pPr>
              <w:spacing w:line="280" w:lineRule="exact"/>
              <w:jc w:val="center"/>
              <w:rPr>
                <w:color w:val="000000"/>
                <w:sz w:val="24"/>
              </w:rPr>
            </w:pPr>
            <w:r>
              <w:rPr>
                <w:rFonts w:hint="eastAsia"/>
                <w:color w:val="000000"/>
                <w:sz w:val="24"/>
              </w:rPr>
              <w:t>设</w:t>
            </w:r>
          </w:p>
          <w:p>
            <w:pPr>
              <w:spacing w:line="280" w:lineRule="exact"/>
              <w:jc w:val="center"/>
              <w:rPr>
                <w:color w:val="000000"/>
                <w:sz w:val="24"/>
              </w:rPr>
            </w:pPr>
            <w:r>
              <w:rPr>
                <w:color w:val="000000"/>
                <w:sz w:val="24"/>
              </w:rPr>
              <w:t>7</w:t>
            </w:r>
          </w:p>
          <w:p>
            <w:pPr>
              <w:spacing w:line="280" w:lineRule="exact"/>
              <w:jc w:val="center"/>
              <w:rPr>
                <w:color w:val="000000"/>
                <w:sz w:val="24"/>
              </w:rPr>
            </w:pPr>
            <w:r>
              <w:rPr>
                <w:rFonts w:hint="eastAsia"/>
                <w:color w:val="000000"/>
                <w:sz w:val="24"/>
              </w:rPr>
              <w:t>分</w:t>
            </w:r>
          </w:p>
        </w:tc>
        <w:tc>
          <w:tcPr>
            <w:tcW w:w="5579" w:type="dxa"/>
            <w:noWrap/>
            <w:vAlign w:val="center"/>
          </w:tcPr>
          <w:p>
            <w:pPr>
              <w:spacing w:line="280" w:lineRule="exact"/>
              <w:rPr>
                <w:rFonts w:ascii="仿宋_GB2312" w:eastAsia="仿宋_GB2312"/>
                <w:color w:val="000000"/>
                <w:szCs w:val="21"/>
              </w:rPr>
            </w:pPr>
            <w:r>
              <w:rPr>
                <w:rFonts w:hint="eastAsia" w:ascii="仿宋_GB2312" w:eastAsia="仿宋_GB2312"/>
                <w:color w:val="000000"/>
                <w:szCs w:val="21"/>
              </w:rPr>
              <w:t>长沙市城区律所办公面积不少于600平方米或者人均不少于30平方米；其他市州城区律所办公面积不少于400平方米或者人均不少于20平方米；县域律师事务所办公面积不少于300平方米。</w:t>
            </w:r>
          </w:p>
        </w:tc>
        <w:tc>
          <w:tcPr>
            <w:tcW w:w="836" w:type="dxa"/>
            <w:noWrap/>
            <w:vAlign w:val="center"/>
          </w:tcPr>
          <w:p>
            <w:pPr>
              <w:spacing w:line="280" w:lineRule="exact"/>
              <w:jc w:val="center"/>
              <w:rPr>
                <w:rFonts w:ascii="仿宋_GB2312" w:eastAsia="仿宋_GB2312"/>
                <w:color w:val="000000"/>
                <w:szCs w:val="21"/>
              </w:rPr>
            </w:pPr>
            <w:r>
              <w:rPr>
                <w:color w:val="000000"/>
                <w:sz w:val="24"/>
              </w:rPr>
              <w:t>2</w:t>
            </w:r>
          </w:p>
        </w:tc>
        <w:tc>
          <w:tcPr>
            <w:tcW w:w="840" w:type="dxa"/>
            <w:noWrap/>
            <w:vAlign w:val="center"/>
          </w:tcPr>
          <w:p>
            <w:pPr>
              <w:spacing w:line="28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8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考评方式：</w:t>
            </w:r>
            <w:r>
              <w:rPr>
                <w:rFonts w:hint="eastAsia" w:ascii="仿宋_GB2312" w:eastAsia="仿宋_GB2312"/>
                <w:color w:val="000000"/>
                <w:szCs w:val="21"/>
              </w:rPr>
              <w:t>实地查看。</w:t>
            </w:r>
          </w:p>
          <w:p>
            <w:pPr>
              <w:spacing w:line="280" w:lineRule="exact"/>
              <w:ind w:right="-63" w:rightChars="-30"/>
              <w:rPr>
                <w:rFonts w:ascii="仿宋_GB2312" w:hAnsi="宋体" w:eastAsia="仿宋_GB2312"/>
                <w:b/>
                <w:bCs/>
                <w:color w:val="000000"/>
                <w:kern w:val="0"/>
                <w:szCs w:val="21"/>
              </w:rPr>
            </w:pPr>
            <w:r>
              <w:rPr>
                <w:rFonts w:hint="eastAsia" w:ascii="仿宋_GB2312" w:hAnsi="宋体" w:eastAsia="仿宋_GB2312"/>
                <w:b/>
                <w:bCs/>
                <w:color w:val="000000"/>
                <w:kern w:val="0"/>
                <w:szCs w:val="21"/>
              </w:rPr>
              <w:t>扣分标准：</w:t>
            </w:r>
            <w:r>
              <w:rPr>
                <w:rFonts w:hint="eastAsia" w:ascii="仿宋_GB2312" w:hAnsi="宋体" w:eastAsia="仿宋_GB2312"/>
                <w:bCs/>
                <w:color w:val="000000"/>
                <w:kern w:val="0"/>
                <w:szCs w:val="21"/>
              </w:rPr>
              <w:t>未满足条件扣</w:t>
            </w:r>
            <w:r>
              <w:rPr>
                <w:rFonts w:ascii="仿宋_GB2312" w:hAnsi="宋体" w:eastAsia="仿宋_GB2312"/>
                <w:bCs/>
                <w:color w:val="000000"/>
                <w:kern w:val="0"/>
                <w:szCs w:val="21"/>
              </w:rPr>
              <w:t>2</w:t>
            </w:r>
            <w:r>
              <w:rPr>
                <w:rFonts w:hint="eastAsia" w:ascii="仿宋_GB2312" w:hAnsi="宋体" w:eastAsia="仿宋_GB2312"/>
                <w:bCs/>
                <w:color w:val="000000"/>
                <w:kern w:val="0"/>
                <w:szCs w:val="21"/>
              </w:rPr>
              <w:t>分。</w:t>
            </w:r>
          </w:p>
          <w:p>
            <w:pPr>
              <w:spacing w:line="280" w:lineRule="exact"/>
              <w:ind w:right="-63" w:rightChars="-30"/>
              <w:rPr>
                <w:color w:val="000000"/>
              </w:rPr>
            </w:pPr>
            <w:r>
              <w:rPr>
                <w:rFonts w:ascii="仿宋_GB2312" w:hAnsi="宋体" w:eastAsia="仿宋_GB2312"/>
                <w:b/>
                <w:bCs/>
                <w:color w:val="000000"/>
                <w:kern w:val="0"/>
                <w:szCs w:val="21"/>
              </w:rPr>
              <w:t>加分项</w:t>
            </w:r>
            <w:r>
              <w:rPr>
                <w:rFonts w:hint="eastAsia" w:ascii="仿宋_GB2312" w:hAnsi="宋体" w:eastAsia="仿宋_GB2312"/>
                <w:b/>
                <w:bCs/>
                <w:color w:val="000000"/>
                <w:kern w:val="0"/>
                <w:szCs w:val="21"/>
              </w:rPr>
              <w:t>：</w:t>
            </w:r>
            <w:r>
              <w:rPr>
                <w:rFonts w:hint="eastAsia" w:ascii="仿宋_GB2312" w:hAnsi="宋体" w:eastAsia="仿宋_GB2312"/>
                <w:bCs/>
                <w:color w:val="000000"/>
                <w:kern w:val="0"/>
                <w:szCs w:val="21"/>
              </w:rPr>
              <w:t>专职律师人均办公面积30m</w:t>
            </w:r>
            <w:r>
              <w:rPr>
                <w:rFonts w:ascii="仿宋_GB2312" w:hAnsi="宋体" w:eastAsia="仿宋_GB2312"/>
                <w:bCs/>
                <w:color w:val="000000"/>
                <w:kern w:val="0"/>
                <w:szCs w:val="21"/>
              </w:rPr>
              <w:t>²</w:t>
            </w:r>
            <w:r>
              <w:rPr>
                <w:rFonts w:hint="eastAsia" w:ascii="仿宋_GB2312" w:hAnsi="宋体" w:eastAsia="仿宋_GB2312"/>
                <w:bCs/>
                <w:color w:val="000000"/>
                <w:kern w:val="0"/>
                <w:szCs w:val="21"/>
              </w:rPr>
              <w:t>以上加1分。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4"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eastAsia="仿宋_GB2312"/>
                <w:color w:val="000000"/>
                <w:szCs w:val="21"/>
              </w:rPr>
            </w:pPr>
            <w:r>
              <w:rPr>
                <w:rFonts w:hint="eastAsia" w:ascii="仿宋_GB2312" w:eastAsia="仿宋_GB2312"/>
                <w:color w:val="000000"/>
                <w:szCs w:val="21"/>
              </w:rPr>
              <w:t>办公场所功能齐全，并进行功能划分，设置接待室、工作室、会议室、图书室、档案室等。</w:t>
            </w:r>
          </w:p>
        </w:tc>
        <w:tc>
          <w:tcPr>
            <w:tcW w:w="836" w:type="dxa"/>
            <w:noWrap/>
            <w:vAlign w:val="center"/>
          </w:tcPr>
          <w:p>
            <w:pPr>
              <w:spacing w:line="280" w:lineRule="exact"/>
              <w:jc w:val="center"/>
              <w:rPr>
                <w:rFonts w:eastAsia="仿宋_GB2312" w:cs="Calibri"/>
                <w:color w:val="000000"/>
                <w:szCs w:val="21"/>
              </w:rPr>
            </w:pPr>
            <w:r>
              <w:rPr>
                <w:rFonts w:eastAsia="仿宋_GB2312" w:cs="Calibri"/>
                <w:color w:val="000000"/>
                <w:sz w:val="24"/>
                <w:szCs w:val="21"/>
              </w:rPr>
              <w:t>2</w:t>
            </w:r>
          </w:p>
        </w:tc>
        <w:tc>
          <w:tcPr>
            <w:tcW w:w="840" w:type="dxa"/>
            <w:noWrap/>
            <w:vAlign w:val="center"/>
          </w:tcPr>
          <w:p>
            <w:pPr>
              <w:spacing w:line="28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8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：实地查看。</w:t>
            </w:r>
          </w:p>
          <w:p>
            <w:pPr>
              <w:spacing w:line="280" w:lineRule="exact"/>
              <w:rPr>
                <w:rFonts w:ascii="仿宋_GB2312" w:eastAsia="仿宋_GB2312"/>
                <w:color w:val="000000"/>
                <w:szCs w:val="21"/>
              </w:rPr>
            </w:pPr>
            <w:r>
              <w:rPr>
                <w:rFonts w:ascii="仿宋_GB2312" w:eastAsia="仿宋_GB2312"/>
                <w:b/>
                <w:color w:val="000000"/>
                <w:szCs w:val="21"/>
              </w:rPr>
              <w:t>扣分标准</w:t>
            </w:r>
            <w:r>
              <w:rPr>
                <w:rFonts w:hint="eastAsia" w:ascii="仿宋_GB2312" w:eastAsia="仿宋_GB2312"/>
                <w:color w:val="000000"/>
                <w:szCs w:val="21"/>
              </w:rPr>
              <w:t>：律师事务所办公场所功能划分混乱的扣</w:t>
            </w:r>
            <w:r>
              <w:rPr>
                <w:rFonts w:ascii="仿宋_GB2312" w:eastAsia="仿宋_GB2312"/>
                <w:color w:val="000000"/>
                <w:szCs w:val="21"/>
              </w:rPr>
              <w:t>2</w:t>
            </w:r>
            <w:r>
              <w:rPr>
                <w:rFonts w:hint="eastAsia" w:ascii="仿宋_GB2312" w:eastAsia="仿宋_GB2312"/>
                <w:color w:val="00000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eastAsia="仿宋_GB2312"/>
                <w:color w:val="000000"/>
                <w:szCs w:val="21"/>
              </w:rPr>
            </w:pPr>
            <w:r>
              <w:rPr>
                <w:rFonts w:hint="eastAsia" w:ascii="仿宋_GB2312" w:eastAsia="仿宋_GB2312"/>
                <w:color w:val="000000"/>
                <w:szCs w:val="21"/>
              </w:rPr>
              <w:t>律师普遍使用电脑办公，配备现代化办公设备。</w:t>
            </w:r>
          </w:p>
        </w:tc>
        <w:tc>
          <w:tcPr>
            <w:tcW w:w="836" w:type="dxa"/>
            <w:noWrap/>
            <w:vAlign w:val="center"/>
          </w:tcPr>
          <w:p>
            <w:pPr>
              <w:spacing w:line="280" w:lineRule="exact"/>
              <w:jc w:val="center"/>
              <w:rPr>
                <w:rFonts w:eastAsia="仿宋_GB2312" w:cs="Calibri"/>
                <w:color w:val="000000"/>
                <w:sz w:val="24"/>
                <w:szCs w:val="21"/>
              </w:rPr>
            </w:pPr>
            <w:r>
              <w:rPr>
                <w:rFonts w:eastAsia="仿宋_GB2312" w:cs="Calibri"/>
                <w:color w:val="000000"/>
                <w:sz w:val="24"/>
                <w:szCs w:val="21"/>
              </w:rPr>
              <w:t>1</w:t>
            </w:r>
          </w:p>
        </w:tc>
        <w:tc>
          <w:tcPr>
            <w:tcW w:w="840" w:type="dxa"/>
            <w:noWrap/>
            <w:vAlign w:val="center"/>
          </w:tcPr>
          <w:p>
            <w:pPr>
              <w:spacing w:line="28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80" w:lineRule="exact"/>
              <w:rPr>
                <w:rFonts w:ascii="仿宋_GB2312" w:eastAsia="仿宋_GB2312"/>
                <w:color w:val="000000"/>
                <w:spacing w:val="-6"/>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eastAsia="仿宋_GB2312"/>
                <w:color w:val="000000"/>
                <w:spacing w:val="-6"/>
                <w:szCs w:val="21"/>
              </w:rPr>
              <w:t>实地查看。</w:t>
            </w:r>
          </w:p>
          <w:p>
            <w:pPr>
              <w:spacing w:line="280" w:lineRule="exact"/>
              <w:rPr>
                <w:rFonts w:ascii="仿宋_GB2312" w:eastAsia="仿宋_GB2312"/>
                <w:color w:val="000000"/>
                <w:spacing w:val="-6"/>
                <w:szCs w:val="21"/>
              </w:rPr>
            </w:pPr>
            <w:r>
              <w:rPr>
                <w:rFonts w:ascii="仿宋_GB2312" w:eastAsia="仿宋_GB2312"/>
                <w:b/>
                <w:color w:val="000000"/>
                <w:szCs w:val="21"/>
              </w:rPr>
              <w:t>扣分标准</w:t>
            </w:r>
            <w:r>
              <w:rPr>
                <w:rFonts w:hint="eastAsia" w:ascii="仿宋_GB2312" w:eastAsia="仿宋_GB2312"/>
                <w:color w:val="000000"/>
                <w:szCs w:val="21"/>
              </w:rPr>
              <w:t>：</w:t>
            </w:r>
            <w:r>
              <w:rPr>
                <w:rFonts w:hint="eastAsia" w:ascii="仿宋_GB2312" w:eastAsia="仿宋_GB2312"/>
                <w:color w:val="000000"/>
                <w:spacing w:val="-6"/>
                <w:szCs w:val="21"/>
              </w:rPr>
              <w:t>专职律师未达到人均1台电脑，复印机、传真机、打印机不齐备的扣1分。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eastAsia="仿宋_GB2312"/>
                <w:color w:val="000000"/>
                <w:szCs w:val="21"/>
              </w:rPr>
            </w:pPr>
            <w:r>
              <w:rPr>
                <w:rFonts w:hint="eastAsia" w:ascii="仿宋_GB2312" w:eastAsia="仿宋_GB2312"/>
                <w:color w:val="000000"/>
                <w:szCs w:val="21"/>
              </w:rPr>
              <w:t>建立律师事务所门户网站、微信公众号等信息交流平台，律所使用专门软件进行人员管理、业务管理、质量管理、财务管理等。</w:t>
            </w:r>
          </w:p>
        </w:tc>
        <w:tc>
          <w:tcPr>
            <w:tcW w:w="836" w:type="dxa"/>
            <w:noWrap/>
            <w:vAlign w:val="center"/>
          </w:tcPr>
          <w:p>
            <w:pPr>
              <w:spacing w:line="28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8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8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：查看现场和相关资料</w:t>
            </w:r>
            <w:r>
              <w:rPr>
                <w:rFonts w:hint="eastAsia" w:ascii="仿宋_GB2312" w:eastAsia="仿宋_GB2312"/>
                <w:color w:val="000000"/>
                <w:spacing w:val="-6"/>
                <w:szCs w:val="21"/>
              </w:rPr>
              <w:t>。</w:t>
            </w:r>
          </w:p>
          <w:p>
            <w:pPr>
              <w:spacing w:line="28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：未建立相关信息交流平台的扣1分，未使用专门软件进行管理工作的扣1分。</w:t>
            </w:r>
          </w:p>
          <w:p>
            <w:pPr>
              <w:spacing w:line="280" w:lineRule="exact"/>
              <w:rPr>
                <w:rFonts w:ascii="仿宋_GB2312" w:eastAsia="仿宋_GB2312"/>
                <w:color w:val="000000"/>
                <w:spacing w:val="-6"/>
                <w:szCs w:val="21"/>
              </w:rPr>
            </w:pPr>
            <w:r>
              <w:rPr>
                <w:rFonts w:ascii="仿宋_GB2312" w:eastAsia="仿宋_GB2312"/>
                <w:b/>
                <w:color w:val="000000"/>
                <w:szCs w:val="21"/>
              </w:rPr>
              <w:t>加分项</w:t>
            </w:r>
            <w:r>
              <w:rPr>
                <w:rFonts w:hint="eastAsia" w:ascii="仿宋_GB2312" w:eastAsia="仿宋_GB2312"/>
                <w:b/>
                <w:color w:val="000000"/>
                <w:szCs w:val="21"/>
              </w:rPr>
              <w:t>：</w:t>
            </w:r>
            <w:r>
              <w:rPr>
                <w:rFonts w:hint="eastAsia" w:ascii="仿宋_GB2312" w:eastAsia="仿宋_GB2312"/>
                <w:color w:val="000000"/>
                <w:szCs w:val="21"/>
              </w:rPr>
              <w:t>律师事务所建有内部局域网的加1分。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restart"/>
            <w:tcBorders>
              <w:right w:val="single" w:color="auto" w:sz="4" w:space="0"/>
            </w:tcBorders>
            <w:noWrap/>
            <w:vAlign w:val="center"/>
          </w:tcPr>
          <w:p>
            <w:pPr>
              <w:spacing w:line="280" w:lineRule="exact"/>
              <w:jc w:val="center"/>
              <w:rPr>
                <w:color w:val="000000"/>
                <w:sz w:val="24"/>
              </w:rPr>
            </w:pPr>
          </w:p>
          <w:p>
            <w:pPr>
              <w:spacing w:line="280" w:lineRule="exact"/>
              <w:jc w:val="center"/>
              <w:rPr>
                <w:color w:val="000000"/>
                <w:sz w:val="24"/>
              </w:rPr>
            </w:pPr>
            <w:r>
              <w:rPr>
                <w:rFonts w:hint="eastAsia"/>
                <w:color w:val="000000"/>
                <w:sz w:val="24"/>
              </w:rPr>
              <w:t>文化建设</w:t>
            </w:r>
          </w:p>
          <w:p>
            <w:pPr>
              <w:spacing w:line="280" w:lineRule="exact"/>
              <w:jc w:val="center"/>
              <w:rPr>
                <w:color w:val="000000"/>
                <w:sz w:val="24"/>
              </w:rPr>
            </w:pPr>
            <w:r>
              <w:rPr>
                <w:rFonts w:hint="eastAsia"/>
                <w:color w:val="000000"/>
                <w:sz w:val="24"/>
              </w:rPr>
              <w:t>7分</w:t>
            </w:r>
          </w:p>
          <w:p>
            <w:pPr>
              <w:spacing w:line="280" w:lineRule="exact"/>
              <w:jc w:val="center"/>
              <w:rPr>
                <w:color w:val="000000"/>
                <w:sz w:val="24"/>
              </w:rPr>
            </w:pPr>
          </w:p>
          <w:p>
            <w:pPr>
              <w:spacing w:line="280" w:lineRule="exact"/>
              <w:jc w:val="center"/>
              <w:rPr>
                <w:color w:val="000000"/>
                <w:sz w:val="24"/>
              </w:rPr>
            </w:pPr>
          </w:p>
        </w:tc>
        <w:tc>
          <w:tcPr>
            <w:tcW w:w="5579" w:type="dxa"/>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有明确的文化价值理念，制定短期发展计划和中长期发展规划，并切实执行。</w:t>
            </w:r>
          </w:p>
        </w:tc>
        <w:tc>
          <w:tcPr>
            <w:tcW w:w="836" w:type="dxa"/>
            <w:noWrap/>
            <w:vAlign w:val="center"/>
          </w:tcPr>
          <w:p>
            <w:pPr>
              <w:spacing w:line="29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9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90" w:lineRule="exact"/>
              <w:rPr>
                <w:rFonts w:ascii="仿宋_GB2312" w:eastAsia="仿宋_GB2312"/>
                <w:color w:val="000000"/>
                <w:spacing w:val="-6"/>
                <w:szCs w:val="21"/>
              </w:rPr>
            </w:pPr>
            <w:r>
              <w:rPr>
                <w:rFonts w:hint="eastAsia" w:ascii="仿宋_GB2312" w:eastAsia="仿宋_GB2312"/>
                <w:b/>
                <w:color w:val="000000"/>
                <w:szCs w:val="21"/>
              </w:rPr>
              <w:t>考评方式</w:t>
            </w:r>
            <w:r>
              <w:rPr>
                <w:rFonts w:hint="eastAsia" w:ascii="仿宋_GB2312" w:eastAsia="仿宋_GB2312"/>
                <w:color w:val="000000"/>
                <w:szCs w:val="21"/>
              </w:rPr>
              <w:t>：查看现场和相关资料</w:t>
            </w:r>
            <w:r>
              <w:rPr>
                <w:rFonts w:hint="eastAsia" w:ascii="仿宋_GB2312" w:eastAsia="仿宋_GB2312"/>
                <w:color w:val="000000"/>
                <w:spacing w:val="-6"/>
                <w:szCs w:val="21"/>
              </w:rPr>
              <w:t>。</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：未制定发展规划的扣</w:t>
            </w:r>
            <w:r>
              <w:rPr>
                <w:rFonts w:ascii="仿宋_GB2312" w:eastAsia="仿宋_GB2312"/>
                <w:color w:val="000000"/>
                <w:szCs w:val="21"/>
              </w:rPr>
              <w:t>2分</w:t>
            </w:r>
            <w:r>
              <w:rPr>
                <w:rFonts w:hint="eastAsia" w:ascii="仿宋_GB2312" w:eastAsia="仿宋_GB2312"/>
                <w:color w:val="000000"/>
                <w:szCs w:val="21"/>
              </w:rPr>
              <w:t>，制定规划未切实执行的扣1分。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注重团队化建设和管理，实行专业化分工和发展。</w:t>
            </w:r>
          </w:p>
        </w:tc>
        <w:tc>
          <w:tcPr>
            <w:tcW w:w="836" w:type="dxa"/>
            <w:noWrap/>
            <w:vAlign w:val="center"/>
          </w:tcPr>
          <w:p>
            <w:pPr>
              <w:spacing w:line="29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9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9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：查看相关制度和了解相关情况。</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：没有建立律师团队的扣1分，没有明确部门划分的扣1分。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律所应当进行品牌设计和强化品牌建设，办公环境优美，设立所徽，统一标识。律师出庭、上班应按照行业规定统一着装。注重品牌建设，整体形象良好，律师事务所和谐团结。</w:t>
            </w:r>
          </w:p>
        </w:tc>
        <w:tc>
          <w:tcPr>
            <w:tcW w:w="836" w:type="dxa"/>
            <w:noWrap/>
            <w:vAlign w:val="center"/>
          </w:tcPr>
          <w:p>
            <w:pPr>
              <w:spacing w:line="29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9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9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：实地查看了解。</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：办公环境脏乱差扣1分，着奇装异服、没有所徽、标识的扣1分。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516" w:type="dxa"/>
            <w:vMerge w:val="continue"/>
            <w:tcBorders>
              <w:bottom w:val="single" w:color="auto" w:sz="4" w:space="0"/>
            </w:tcBorders>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律师事务所经常开展文化活动。</w:t>
            </w:r>
          </w:p>
        </w:tc>
        <w:tc>
          <w:tcPr>
            <w:tcW w:w="836" w:type="dxa"/>
            <w:noWrap/>
            <w:vAlign w:val="center"/>
          </w:tcPr>
          <w:p>
            <w:pPr>
              <w:spacing w:line="290" w:lineRule="exact"/>
              <w:jc w:val="center"/>
              <w:rPr>
                <w:rFonts w:eastAsia="仿宋_GB2312" w:cs="Calibri"/>
                <w:color w:val="000000"/>
                <w:sz w:val="24"/>
                <w:szCs w:val="21"/>
              </w:rPr>
            </w:pPr>
            <w:r>
              <w:rPr>
                <w:rFonts w:hint="eastAsia" w:eastAsia="仿宋_GB2312" w:cs="Calibri"/>
                <w:color w:val="000000"/>
                <w:sz w:val="24"/>
                <w:szCs w:val="21"/>
              </w:rPr>
              <w:t>1</w:t>
            </w:r>
          </w:p>
        </w:tc>
        <w:tc>
          <w:tcPr>
            <w:tcW w:w="840" w:type="dxa"/>
            <w:noWrap/>
            <w:vAlign w:val="center"/>
          </w:tcPr>
          <w:p>
            <w:pPr>
              <w:spacing w:line="290" w:lineRule="exact"/>
              <w:jc w:val="center"/>
              <w:rPr>
                <w:rFonts w:ascii="仿宋_GB2312" w:eastAsia="仿宋_GB2312"/>
                <w:color w:val="000000"/>
                <w:szCs w:val="21"/>
              </w:rPr>
            </w:pPr>
          </w:p>
        </w:tc>
        <w:tc>
          <w:tcPr>
            <w:tcW w:w="742" w:type="dxa"/>
            <w:tcBorders>
              <w:bottom w:val="single" w:color="auto" w:sz="4" w:space="0"/>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left w:val="single" w:color="auto" w:sz="4" w:space="0"/>
              <w:bottom w:val="single" w:color="auto" w:sz="4" w:space="0"/>
            </w:tcBorders>
            <w:noWrap/>
            <w:vAlign w:val="center"/>
          </w:tcPr>
          <w:p>
            <w:pPr>
              <w:spacing w:line="29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：实地查看了解。</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：未开展文化活动的扣1分。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1" w:hRule="atLeast"/>
        </w:trPr>
        <w:tc>
          <w:tcPr>
            <w:tcW w:w="516" w:type="dxa"/>
            <w:vMerge w:val="restart"/>
            <w:tcBorders>
              <w:top w:val="single" w:color="auto" w:sz="4" w:space="0"/>
            </w:tcBorders>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队伍建设</w:t>
            </w:r>
          </w:p>
          <w:p>
            <w:pPr>
              <w:spacing w:line="280" w:lineRule="exact"/>
              <w:jc w:val="center"/>
              <w:rPr>
                <w:color w:val="000000"/>
                <w:sz w:val="24"/>
              </w:rPr>
            </w:pPr>
            <w:r>
              <w:rPr>
                <w:color w:val="000000"/>
                <w:sz w:val="24"/>
              </w:rPr>
              <w:t>8</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868" w:type="dxa"/>
            <w:vMerge w:val="restart"/>
            <w:tcBorders>
              <w:right w:val="single" w:color="auto" w:sz="4" w:space="0"/>
            </w:tcBorders>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人才</w:t>
            </w:r>
          </w:p>
          <w:p>
            <w:pPr>
              <w:spacing w:line="280" w:lineRule="exact"/>
              <w:jc w:val="center"/>
              <w:rPr>
                <w:color w:val="000000"/>
                <w:sz w:val="24"/>
              </w:rPr>
            </w:pPr>
            <w:r>
              <w:rPr>
                <w:rFonts w:hint="eastAsia"/>
                <w:color w:val="000000"/>
                <w:sz w:val="24"/>
              </w:rPr>
              <w:t>结构</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5579" w:type="dxa"/>
            <w:tcBorders>
              <w:bottom w:val="single" w:color="auto" w:sz="4" w:space="0"/>
            </w:tcBorders>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长沙城区律所律师人数不少于35人，其他市州城区律所律师人数不少于20人，县域律所律师人数不少于10人。执业律师普遍本科以上学历。</w:t>
            </w:r>
          </w:p>
        </w:tc>
        <w:tc>
          <w:tcPr>
            <w:tcW w:w="836" w:type="dxa"/>
            <w:tcBorders>
              <w:bottom w:val="single" w:color="auto" w:sz="4" w:space="0"/>
            </w:tcBorders>
            <w:noWrap/>
            <w:vAlign w:val="center"/>
          </w:tcPr>
          <w:p>
            <w:pPr>
              <w:spacing w:line="290" w:lineRule="exact"/>
              <w:jc w:val="center"/>
              <w:rPr>
                <w:rFonts w:eastAsia="仿宋_GB2312" w:cs="Calibri"/>
                <w:color w:val="000000"/>
                <w:sz w:val="24"/>
                <w:szCs w:val="21"/>
              </w:rPr>
            </w:pPr>
            <w:r>
              <w:rPr>
                <w:rFonts w:eastAsia="仿宋_GB2312" w:cs="Calibri"/>
                <w:color w:val="000000"/>
                <w:sz w:val="24"/>
                <w:szCs w:val="21"/>
              </w:rPr>
              <w:t>2</w:t>
            </w:r>
          </w:p>
        </w:tc>
        <w:tc>
          <w:tcPr>
            <w:tcW w:w="840" w:type="dxa"/>
            <w:tcBorders>
              <w:bottom w:val="single" w:color="auto" w:sz="4" w:space="0"/>
            </w:tcBorders>
            <w:noWrap/>
            <w:vAlign w:val="center"/>
          </w:tcPr>
          <w:p>
            <w:pPr>
              <w:spacing w:line="290" w:lineRule="exact"/>
              <w:jc w:val="center"/>
              <w:rPr>
                <w:rFonts w:ascii="仿宋_GB2312" w:eastAsia="仿宋_GB2312"/>
                <w:color w:val="000000"/>
                <w:szCs w:val="21"/>
              </w:rPr>
            </w:pPr>
          </w:p>
        </w:tc>
        <w:tc>
          <w:tcPr>
            <w:tcW w:w="742" w:type="dxa"/>
            <w:tcBorders>
              <w:bottom w:val="single" w:color="auto" w:sz="4" w:space="0"/>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left w:val="single" w:color="auto" w:sz="4" w:space="0"/>
              <w:bottom w:val="single" w:color="auto" w:sz="4" w:space="0"/>
            </w:tcBorders>
            <w:noWrap/>
            <w:vAlign w:val="center"/>
          </w:tcPr>
          <w:p>
            <w:pPr>
              <w:spacing w:line="29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eastAsia="仿宋_GB2312"/>
                <w:color w:val="000000"/>
                <w:spacing w:val="-6"/>
                <w:szCs w:val="21"/>
              </w:rPr>
              <w:t>实地查看。</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：达不到相应人数要求的，扣2分。</w:t>
            </w:r>
          </w:p>
          <w:p>
            <w:pPr>
              <w:spacing w:line="290" w:lineRule="exact"/>
              <w:rPr>
                <w:rFonts w:ascii="仿宋_GB2312" w:eastAsia="仿宋_GB2312"/>
                <w:color w:val="000000"/>
                <w:szCs w:val="21"/>
              </w:rPr>
            </w:pPr>
            <w:r>
              <w:rPr>
                <w:rFonts w:ascii="仿宋_GB2312" w:eastAsia="仿宋_GB2312"/>
                <w:b/>
                <w:color w:val="000000"/>
                <w:szCs w:val="21"/>
              </w:rPr>
              <w:t>加分项</w:t>
            </w:r>
            <w:r>
              <w:rPr>
                <w:rFonts w:hint="eastAsia" w:ascii="仿宋_GB2312" w:eastAsia="仿宋_GB2312"/>
                <w:b/>
                <w:color w:val="000000"/>
                <w:szCs w:val="21"/>
              </w:rPr>
              <w:t>：</w:t>
            </w:r>
            <w:r>
              <w:rPr>
                <w:rFonts w:hint="eastAsia" w:ascii="仿宋_GB2312" w:eastAsia="仿宋_GB2312"/>
                <w:color w:val="000000"/>
                <w:szCs w:val="21"/>
              </w:rPr>
              <w:t>律师人数超过50人加1分，硕士研究生以上学历占40</w:t>
            </w:r>
            <w:r>
              <w:rPr>
                <w:rFonts w:hint="eastAsia" w:ascii="仿宋_GB2312" w:hAnsi="宋体" w:eastAsia="仿宋_GB2312"/>
                <w:color w:val="000000"/>
                <w:szCs w:val="21"/>
              </w:rPr>
              <w:t>%</w:t>
            </w:r>
            <w:r>
              <w:rPr>
                <w:rFonts w:hint="eastAsia" w:ascii="仿宋_GB2312" w:eastAsia="仿宋_GB2312"/>
                <w:color w:val="000000"/>
                <w:szCs w:val="21"/>
              </w:rPr>
              <w:t>以上加1分，中高级职称律师占15%以上加1分。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bottom w:val="single" w:color="auto" w:sz="4" w:space="0"/>
            </w:tcBorders>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注重对青年律师的教育和培养，“传、帮、带”工作制度化、规范化。</w:t>
            </w:r>
          </w:p>
        </w:tc>
        <w:tc>
          <w:tcPr>
            <w:tcW w:w="836" w:type="dxa"/>
            <w:tcBorders>
              <w:bottom w:val="single" w:color="auto" w:sz="4" w:space="0"/>
            </w:tcBorders>
            <w:noWrap/>
            <w:vAlign w:val="center"/>
          </w:tcPr>
          <w:p>
            <w:pPr>
              <w:spacing w:line="290" w:lineRule="exact"/>
              <w:jc w:val="center"/>
              <w:rPr>
                <w:rFonts w:eastAsia="仿宋_GB2312" w:cs="Calibri"/>
                <w:color w:val="000000"/>
                <w:sz w:val="24"/>
                <w:szCs w:val="21"/>
              </w:rPr>
            </w:pPr>
            <w:r>
              <w:rPr>
                <w:rFonts w:eastAsia="仿宋_GB2312" w:cs="Calibri"/>
                <w:color w:val="000000"/>
                <w:sz w:val="24"/>
                <w:szCs w:val="21"/>
              </w:rPr>
              <w:t>2</w:t>
            </w:r>
          </w:p>
        </w:tc>
        <w:tc>
          <w:tcPr>
            <w:tcW w:w="840" w:type="dxa"/>
            <w:tcBorders>
              <w:bottom w:val="single" w:color="auto" w:sz="4" w:space="0"/>
            </w:tcBorders>
            <w:noWrap/>
            <w:vAlign w:val="center"/>
          </w:tcPr>
          <w:p>
            <w:pPr>
              <w:spacing w:line="290" w:lineRule="exact"/>
              <w:jc w:val="center"/>
              <w:rPr>
                <w:rFonts w:ascii="仿宋_GB2312" w:eastAsia="仿宋_GB2312"/>
                <w:color w:val="000000"/>
                <w:szCs w:val="21"/>
              </w:rPr>
            </w:pPr>
          </w:p>
        </w:tc>
        <w:tc>
          <w:tcPr>
            <w:tcW w:w="742" w:type="dxa"/>
            <w:tcBorders>
              <w:bottom w:val="single" w:color="auto" w:sz="4" w:space="0"/>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left w:val="single" w:color="auto" w:sz="4" w:space="0"/>
              <w:bottom w:val="single" w:color="auto" w:sz="4" w:space="0"/>
            </w:tcBorders>
            <w:noWrap/>
            <w:vAlign w:val="center"/>
          </w:tcPr>
          <w:p>
            <w:pPr>
              <w:spacing w:line="29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查看会议记录和相关资料，访谈律师。</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：不重视对青年律师的培养，“传、帮、带”工作没有得到有效的执行的扣</w:t>
            </w:r>
            <w:r>
              <w:rPr>
                <w:rFonts w:ascii="仿宋_GB2312" w:eastAsia="仿宋_GB2312"/>
                <w:color w:val="000000"/>
                <w:szCs w:val="21"/>
              </w:rPr>
              <w:t>1</w:t>
            </w:r>
            <w:r>
              <w:rPr>
                <w:rFonts w:hint="eastAsia" w:ascii="仿宋_GB2312" w:eastAsia="仿宋_GB2312"/>
                <w:color w:val="000000"/>
                <w:szCs w:val="21"/>
              </w:rPr>
              <w:t>分；在薪酬制度上没有给予青年律师扶持的扣1分。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top w:val="single" w:color="auto" w:sz="4" w:space="0"/>
            </w:tcBorders>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制定律师人才培养发展计划，建立人才激励、培养机制。</w:t>
            </w:r>
          </w:p>
        </w:tc>
        <w:tc>
          <w:tcPr>
            <w:tcW w:w="836" w:type="dxa"/>
            <w:tcBorders>
              <w:top w:val="single" w:color="auto" w:sz="4" w:space="0"/>
            </w:tcBorders>
            <w:noWrap/>
            <w:vAlign w:val="center"/>
          </w:tcPr>
          <w:p>
            <w:pPr>
              <w:spacing w:line="29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tcBorders>
              <w:top w:val="single" w:color="auto" w:sz="4" w:space="0"/>
            </w:tcBorders>
            <w:noWrap/>
            <w:vAlign w:val="center"/>
          </w:tcPr>
          <w:p>
            <w:pPr>
              <w:spacing w:line="290" w:lineRule="exact"/>
              <w:jc w:val="center"/>
              <w:rPr>
                <w:rFonts w:ascii="仿宋_GB2312" w:eastAsia="仿宋_GB2312"/>
                <w:color w:val="000000"/>
                <w:szCs w:val="21"/>
              </w:rPr>
            </w:pPr>
          </w:p>
        </w:tc>
        <w:tc>
          <w:tcPr>
            <w:tcW w:w="742" w:type="dxa"/>
            <w:tcBorders>
              <w:top w:val="single" w:color="auto" w:sz="4" w:space="0"/>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top w:val="single" w:color="auto" w:sz="4" w:space="0"/>
              <w:left w:val="single" w:color="auto" w:sz="4" w:space="0"/>
            </w:tcBorders>
            <w:noWrap/>
            <w:vAlign w:val="center"/>
          </w:tcPr>
          <w:p>
            <w:pPr>
              <w:spacing w:line="29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：未制定人才培养发展计划的扣1分，未建立培训基金、未建立激励机制和培养机制的扣1分。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90" w:lineRule="exact"/>
              <w:rPr>
                <w:rFonts w:ascii="仿宋_GB2312" w:eastAsia="仿宋_GB2312"/>
                <w:color w:val="000000"/>
                <w:szCs w:val="21"/>
              </w:rPr>
            </w:pPr>
            <w:r>
              <w:rPr>
                <w:rFonts w:hint="eastAsia" w:ascii="仿宋_GB2312" w:eastAsia="仿宋_GB2312"/>
                <w:color w:val="000000"/>
                <w:szCs w:val="21"/>
              </w:rPr>
              <w:t>律所应当按规定每年至少开展一次律师职业道德和执业纪律教育，并做好相关记录，每个律师必须熟知职业道德、执业纪律，并建立律师执业档案。</w:t>
            </w:r>
          </w:p>
        </w:tc>
        <w:tc>
          <w:tcPr>
            <w:tcW w:w="836" w:type="dxa"/>
            <w:noWrap/>
            <w:vAlign w:val="center"/>
          </w:tcPr>
          <w:p>
            <w:pPr>
              <w:spacing w:line="29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9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9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9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查看会议记录和相关资料，访谈律师。</w:t>
            </w:r>
          </w:p>
          <w:p>
            <w:pPr>
              <w:spacing w:line="29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：没有建立考核制度，未开展律师执业道德和执业纪律教育的扣1分；没有建立律师执业档案或律师执业档案不全的扣1分。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2" w:hRule="atLeast"/>
        </w:trPr>
        <w:tc>
          <w:tcPr>
            <w:tcW w:w="516" w:type="dxa"/>
            <w:vMerge w:val="restart"/>
            <w:noWrap/>
            <w:vAlign w:val="center"/>
          </w:tcPr>
          <w:p>
            <w:pPr>
              <w:spacing w:line="280" w:lineRule="exact"/>
              <w:rPr>
                <w:color w:val="000000"/>
                <w:sz w:val="24"/>
              </w:rPr>
            </w:pPr>
          </w:p>
          <w:p>
            <w:pPr>
              <w:spacing w:line="280" w:lineRule="exact"/>
              <w:jc w:val="center"/>
              <w:rPr>
                <w:color w:val="000000"/>
                <w:sz w:val="24"/>
              </w:rPr>
            </w:pPr>
            <w:r>
              <w:rPr>
                <w:rFonts w:hint="eastAsia"/>
                <w:color w:val="000000"/>
                <w:sz w:val="24"/>
              </w:rPr>
              <w:t>律师事务所管理</w:t>
            </w:r>
          </w:p>
          <w:p>
            <w:pPr>
              <w:spacing w:line="280" w:lineRule="exact"/>
              <w:jc w:val="center"/>
              <w:rPr>
                <w:color w:val="000000"/>
                <w:sz w:val="24"/>
              </w:rPr>
            </w:pPr>
            <w:r>
              <w:rPr>
                <w:color w:val="000000"/>
                <w:sz w:val="24"/>
              </w:rPr>
              <w:t>62</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律师事务所管理</w:t>
            </w:r>
          </w:p>
          <w:p>
            <w:pPr>
              <w:spacing w:line="280" w:lineRule="exact"/>
              <w:jc w:val="center"/>
              <w:rPr>
                <w:color w:val="000000"/>
                <w:sz w:val="24"/>
              </w:rPr>
            </w:pPr>
            <w:r>
              <w:rPr>
                <w:color w:val="000000"/>
                <w:sz w:val="24"/>
              </w:rPr>
              <w:t>62</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律师事务所管理</w:t>
            </w:r>
          </w:p>
          <w:p>
            <w:pPr>
              <w:spacing w:line="280" w:lineRule="exact"/>
              <w:jc w:val="center"/>
              <w:rPr>
                <w:color w:val="000000"/>
                <w:sz w:val="24"/>
              </w:rPr>
            </w:pPr>
            <w:r>
              <w:rPr>
                <w:color w:val="000000"/>
                <w:sz w:val="24"/>
              </w:rPr>
              <w:t>62</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r>
              <w:rPr>
                <w:rFonts w:hint="eastAsia"/>
                <w:color w:val="000000"/>
                <w:sz w:val="24"/>
              </w:rPr>
              <w:t>律师事务所管理</w:t>
            </w:r>
          </w:p>
          <w:p>
            <w:pPr>
              <w:spacing w:line="280" w:lineRule="exact"/>
              <w:jc w:val="center"/>
              <w:rPr>
                <w:color w:val="000000"/>
                <w:sz w:val="24"/>
              </w:rPr>
            </w:pPr>
            <w:r>
              <w:rPr>
                <w:color w:val="000000"/>
                <w:sz w:val="24"/>
              </w:rPr>
              <w:t>62</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868" w:type="dxa"/>
            <w:vMerge w:val="restart"/>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组织机构</w:t>
            </w:r>
          </w:p>
          <w:p>
            <w:pPr>
              <w:spacing w:line="280" w:lineRule="exact"/>
              <w:jc w:val="center"/>
              <w:rPr>
                <w:color w:val="000000"/>
                <w:sz w:val="24"/>
              </w:rPr>
            </w:pPr>
            <w:r>
              <w:rPr>
                <w:rFonts w:hint="eastAsia"/>
                <w:color w:val="000000"/>
                <w:sz w:val="24"/>
              </w:rPr>
              <w:t>管理</w:t>
            </w:r>
          </w:p>
          <w:p>
            <w:pPr>
              <w:spacing w:line="280" w:lineRule="exact"/>
              <w:jc w:val="center"/>
              <w:rPr>
                <w:color w:val="000000"/>
                <w:sz w:val="24"/>
              </w:rPr>
            </w:pPr>
            <w:r>
              <w:rPr>
                <w:rFonts w:hint="eastAsia"/>
                <w:color w:val="000000"/>
                <w:sz w:val="24"/>
              </w:rPr>
              <w:t>1</w:t>
            </w:r>
            <w:r>
              <w:rPr>
                <w:color w:val="000000"/>
                <w:sz w:val="24"/>
              </w:rPr>
              <w:t>2分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5579" w:type="dxa"/>
            <w:noWrap/>
            <w:vAlign w:val="center"/>
          </w:tcPr>
          <w:p>
            <w:pPr>
              <w:spacing w:line="340" w:lineRule="exact"/>
              <w:rPr>
                <w:rFonts w:ascii="仿宋_GB2312" w:hAnsi="宋体" w:eastAsia="仿宋_GB2312"/>
                <w:color w:val="000000"/>
                <w:szCs w:val="21"/>
              </w:rPr>
            </w:pPr>
            <w:r>
              <w:rPr>
                <w:rFonts w:hint="eastAsia" w:ascii="仿宋_GB2312" w:hAnsi="宋体" w:eastAsia="仿宋_GB2312"/>
                <w:szCs w:val="21"/>
              </w:rPr>
              <w:t>建立律所决策、执行、监督机构，制定决策机构、监督机构和执行机构工作规则，并在实际工作中严格执行。</w:t>
            </w:r>
          </w:p>
        </w:tc>
        <w:tc>
          <w:tcPr>
            <w:tcW w:w="836" w:type="dxa"/>
            <w:noWrap/>
            <w:vAlign w:val="center"/>
          </w:tcPr>
          <w:p>
            <w:pPr>
              <w:spacing w:line="340" w:lineRule="exact"/>
              <w:jc w:val="center"/>
              <w:rPr>
                <w:rFonts w:eastAsia="仿宋_GB2312" w:cs="Calibri"/>
                <w:color w:val="000000"/>
                <w:sz w:val="24"/>
                <w:szCs w:val="21"/>
              </w:rPr>
            </w:pPr>
            <w:r>
              <w:rPr>
                <w:rFonts w:hint="eastAsia" w:eastAsia="仿宋_GB2312" w:cs="Calibri"/>
                <w:color w:val="000000"/>
                <w:sz w:val="24"/>
                <w:szCs w:val="21"/>
              </w:rPr>
              <w:t>4</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hAnsi="宋体"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szCs w:val="21"/>
              </w:rPr>
              <w:t>查验律师事务所章程、合伙协议和有关制度及记录。</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eastAsia="仿宋_GB2312"/>
                <w:szCs w:val="21"/>
              </w:rPr>
              <w:t>未建立</w:t>
            </w:r>
            <w:r>
              <w:rPr>
                <w:rFonts w:hint="eastAsia" w:ascii="仿宋_GB2312" w:hAnsi="宋体" w:eastAsia="仿宋_GB2312"/>
                <w:szCs w:val="21"/>
              </w:rPr>
              <w:t>律所决策、执行、监督机构的扣2分，决策、执行、监督制度不健全的扣2分，决策机构会议没有记录或记录不完整的扣1分。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40" w:lineRule="exact"/>
              <w:rPr>
                <w:rFonts w:ascii="仿宋_GB2312" w:hAnsi="宋体" w:eastAsia="仿宋_GB2312"/>
                <w:color w:val="000000"/>
                <w:szCs w:val="21"/>
              </w:rPr>
            </w:pPr>
            <w:r>
              <w:rPr>
                <w:rFonts w:hint="eastAsia" w:ascii="仿宋_GB2312" w:eastAsia="仿宋_GB2312"/>
                <w:color w:val="000000"/>
                <w:szCs w:val="21"/>
              </w:rPr>
              <w:t>律师事务所及其律师严格按照重大事项报告制度的规定履行报告义务。</w:t>
            </w:r>
          </w:p>
        </w:tc>
        <w:tc>
          <w:tcPr>
            <w:tcW w:w="836" w:type="dxa"/>
            <w:noWrap/>
            <w:vAlign w:val="center"/>
          </w:tcPr>
          <w:p>
            <w:pPr>
              <w:spacing w:line="340" w:lineRule="exact"/>
              <w:jc w:val="center"/>
              <w:rPr>
                <w:rFonts w:eastAsia="仿宋_GB2312" w:cs="Calibri"/>
                <w:color w:val="000000"/>
                <w:sz w:val="24"/>
                <w:szCs w:val="21"/>
              </w:rPr>
            </w:pPr>
            <w:r>
              <w:rPr>
                <w:rFonts w:eastAsia="仿宋_GB2312" w:cs="Calibri"/>
                <w:color w:val="000000"/>
                <w:sz w:val="24"/>
                <w:szCs w:val="21"/>
              </w:rPr>
              <w:t>2</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查看相关资料。</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没有按照重大事项报告制度的规定履行报告义务的扣2分。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40" w:lineRule="exact"/>
              <w:rPr>
                <w:rFonts w:ascii="仿宋_GB2312" w:hAnsi="宋体" w:eastAsia="仿宋_GB2312"/>
                <w:color w:val="000000"/>
                <w:szCs w:val="21"/>
              </w:rPr>
            </w:pPr>
            <w:r>
              <w:rPr>
                <w:rFonts w:hint="eastAsia" w:ascii="仿宋_GB2312" w:hAnsi="宋体" w:eastAsia="仿宋_GB2312"/>
                <w:color w:val="000000"/>
                <w:szCs w:val="21"/>
              </w:rPr>
              <w:t>律所主任应当认真履行《湖南省司法厅关于加强律师事务所管理的规定》和《湖南省律师事务所负责人问责办法》规定的管理职责。</w:t>
            </w:r>
          </w:p>
        </w:tc>
        <w:tc>
          <w:tcPr>
            <w:tcW w:w="836" w:type="dxa"/>
            <w:noWrap/>
            <w:vAlign w:val="center"/>
          </w:tcPr>
          <w:p>
            <w:pPr>
              <w:spacing w:line="340" w:lineRule="exact"/>
              <w:jc w:val="center"/>
              <w:rPr>
                <w:rFonts w:eastAsia="仿宋_GB2312" w:cs="Calibri"/>
                <w:color w:val="000000"/>
                <w:sz w:val="24"/>
                <w:szCs w:val="21"/>
              </w:rPr>
            </w:pPr>
            <w:r>
              <w:rPr>
                <w:rFonts w:hint="eastAsia" w:eastAsia="仿宋_GB2312" w:cs="Calibri"/>
                <w:color w:val="000000"/>
                <w:sz w:val="24"/>
                <w:szCs w:val="21"/>
              </w:rPr>
              <w:t>1</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：实地调查了解。</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：未履行管理职责的扣1分。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40" w:lineRule="exact"/>
              <w:rPr>
                <w:rFonts w:ascii="仿宋_GB2312" w:hAnsi="宋体" w:eastAsia="仿宋_GB2312"/>
                <w:color w:val="000000"/>
                <w:szCs w:val="21"/>
              </w:rPr>
            </w:pPr>
            <w:r>
              <w:rPr>
                <w:rFonts w:hint="eastAsia" w:ascii="仿宋_GB2312" w:hAnsi="宋体" w:eastAsia="仿宋_GB2312"/>
                <w:color w:val="000000"/>
                <w:szCs w:val="21"/>
              </w:rPr>
              <w:t>建立收案登记和文书登记制度，建立健全印章管理制度，印章使用规范，用章有登记并有专人审批。</w:t>
            </w:r>
          </w:p>
        </w:tc>
        <w:tc>
          <w:tcPr>
            <w:tcW w:w="836" w:type="dxa"/>
            <w:noWrap/>
            <w:vAlign w:val="center"/>
          </w:tcPr>
          <w:p>
            <w:pPr>
              <w:spacing w:line="34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没有制定收案和文书登记制度、印章管理制度的扣1分，印章使用不规范，用章没有登记和专人审批的扣1分。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40" w:lineRule="exact"/>
              <w:rPr>
                <w:rFonts w:ascii="仿宋_GB2312" w:hAnsi="宋体" w:eastAsia="仿宋_GB2312"/>
                <w:color w:val="000000"/>
                <w:szCs w:val="21"/>
              </w:rPr>
            </w:pPr>
            <w:r>
              <w:rPr>
                <w:rFonts w:hint="eastAsia" w:ascii="仿宋_GB2312" w:hAnsi="宋体" w:eastAsia="仿宋_GB2312"/>
                <w:color w:val="000000"/>
                <w:szCs w:val="21"/>
              </w:rPr>
              <w:t>自觉接受司法行政机关和行业协会的监督指导和管理，及时向主管机关提交各项报表、数据。</w:t>
            </w:r>
          </w:p>
        </w:tc>
        <w:tc>
          <w:tcPr>
            <w:tcW w:w="836" w:type="dxa"/>
            <w:noWrap/>
            <w:vAlign w:val="center"/>
          </w:tcPr>
          <w:p>
            <w:pPr>
              <w:spacing w:line="34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不接受司法机关和协会的监督指导和管理的扣1分，不按照要求提交各项报表、数据的扣1分。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40" w:lineRule="exact"/>
              <w:rPr>
                <w:rFonts w:ascii="仿宋_GB2312" w:hAnsi="宋体" w:eastAsia="仿宋_GB2312"/>
                <w:color w:val="000000"/>
                <w:szCs w:val="21"/>
              </w:rPr>
            </w:pPr>
            <w:r>
              <w:rPr>
                <w:rFonts w:hint="eastAsia" w:ascii="仿宋_GB2312" w:hAnsi="宋体" w:eastAsia="仿宋_GB2312"/>
                <w:color w:val="000000"/>
                <w:szCs w:val="21"/>
              </w:rPr>
              <w:t>律师事务所按规定公示《执业许可证》和服务收费标准。</w:t>
            </w:r>
          </w:p>
        </w:tc>
        <w:tc>
          <w:tcPr>
            <w:tcW w:w="836" w:type="dxa"/>
            <w:noWrap/>
            <w:vAlign w:val="center"/>
          </w:tcPr>
          <w:p>
            <w:pPr>
              <w:spacing w:line="340" w:lineRule="exact"/>
              <w:jc w:val="center"/>
              <w:rPr>
                <w:rFonts w:eastAsia="仿宋_GB2312" w:cs="Calibri"/>
                <w:color w:val="000000"/>
                <w:sz w:val="24"/>
                <w:szCs w:val="21"/>
              </w:rPr>
            </w:pPr>
            <w:r>
              <w:rPr>
                <w:rFonts w:hint="eastAsia" w:eastAsia="仿宋_GB2312" w:cs="Calibri"/>
                <w:color w:val="000000"/>
                <w:sz w:val="24"/>
                <w:szCs w:val="21"/>
              </w:rPr>
              <w:t>1</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eastAsia="仿宋_GB2312"/>
                <w:color w:val="000000"/>
                <w:spacing w:val="-6"/>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eastAsia="仿宋_GB2312"/>
                <w:color w:val="000000"/>
                <w:spacing w:val="-6"/>
                <w:szCs w:val="21"/>
              </w:rPr>
              <w:t>实地查看。</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没有在办公场所显著位置悬挂《执业许可证》和悬挂律师服务收费标准等应公示内容的扣1分。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restart"/>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人员管理</w:t>
            </w:r>
          </w:p>
          <w:p>
            <w:pPr>
              <w:spacing w:line="280" w:lineRule="exact"/>
              <w:jc w:val="center"/>
              <w:rPr>
                <w:color w:val="000000"/>
                <w:sz w:val="24"/>
              </w:rPr>
            </w:pPr>
            <w:r>
              <w:rPr>
                <w:color w:val="000000"/>
                <w:sz w:val="24"/>
              </w:rPr>
              <w:t>8分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5579" w:type="dxa"/>
            <w:noWrap/>
            <w:vAlign w:val="center"/>
          </w:tcPr>
          <w:p>
            <w:pPr>
              <w:spacing w:line="320" w:lineRule="exact"/>
              <w:rPr>
                <w:rFonts w:ascii="仿宋_GB2312" w:hAnsi="宋体" w:eastAsia="仿宋_GB2312"/>
                <w:color w:val="000000"/>
                <w:szCs w:val="21"/>
              </w:rPr>
            </w:pPr>
            <w:r>
              <w:rPr>
                <w:rFonts w:hint="eastAsia" w:ascii="仿宋_GB2312" w:hAnsi="宋体" w:eastAsia="仿宋_GB2312"/>
                <w:color w:val="000000"/>
                <w:szCs w:val="21"/>
              </w:rPr>
              <w:t>建立健全律师、行政辅助人员管理制度，对律师、行政辅助人员管理规范，按规定办理社会统筹保险。</w:t>
            </w:r>
          </w:p>
        </w:tc>
        <w:tc>
          <w:tcPr>
            <w:tcW w:w="836" w:type="dxa"/>
            <w:noWrap/>
            <w:vAlign w:val="center"/>
          </w:tcPr>
          <w:p>
            <w:pPr>
              <w:spacing w:line="320" w:lineRule="exact"/>
              <w:jc w:val="center"/>
              <w:rPr>
                <w:rFonts w:eastAsia="仿宋_GB2312" w:cs="Calibri"/>
                <w:color w:val="000000"/>
                <w:sz w:val="24"/>
                <w:szCs w:val="21"/>
              </w:rPr>
            </w:pPr>
            <w:r>
              <w:rPr>
                <w:rFonts w:eastAsia="仿宋_GB2312" w:cs="Calibri"/>
                <w:color w:val="000000"/>
                <w:sz w:val="24"/>
                <w:szCs w:val="21"/>
              </w:rPr>
              <w:t>3</w:t>
            </w:r>
          </w:p>
        </w:tc>
        <w:tc>
          <w:tcPr>
            <w:tcW w:w="840" w:type="dxa"/>
            <w:noWrap/>
            <w:vAlign w:val="center"/>
          </w:tcPr>
          <w:p>
            <w:pPr>
              <w:spacing w:line="32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2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2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查看会议记录和相关资料，访谈律师。</w:t>
            </w:r>
          </w:p>
          <w:p>
            <w:pPr>
              <w:spacing w:line="32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没有建立律师及行政辅助人员管理制度的扣1分，没有与聘用律师、行政辅助人员签订劳动合同的扣1分，没有为合伙人、执业律师和行政辅助人员办理社会统筹保险，或不缴、漏缴社会统筹保险的扣1分。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5"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20" w:lineRule="exact"/>
              <w:rPr>
                <w:rFonts w:ascii="仿宋_GB2312" w:hAnsi="宋体" w:eastAsia="仿宋_GB2312"/>
                <w:color w:val="000000"/>
                <w:szCs w:val="21"/>
              </w:rPr>
            </w:pPr>
            <w:r>
              <w:rPr>
                <w:rFonts w:hint="eastAsia" w:ascii="仿宋_GB2312" w:hAnsi="宋体" w:eastAsia="仿宋_GB2312"/>
                <w:color w:val="000000"/>
                <w:szCs w:val="21"/>
              </w:rPr>
              <w:t>律所应当建立律师执业年度考核制度，对律师执业表现和遵守职业道德、执业纪律情况进行考核，律师拒不按规定参加年度考核的，律所应当解除合同予以辞退或者解除合伙协议予以除名。如法网律所信息和律师个人信息填写真实完整。</w:t>
            </w:r>
          </w:p>
        </w:tc>
        <w:tc>
          <w:tcPr>
            <w:tcW w:w="836" w:type="dxa"/>
            <w:noWrap/>
            <w:vAlign w:val="center"/>
          </w:tcPr>
          <w:p>
            <w:pPr>
              <w:spacing w:line="32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32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2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2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2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没有按规定完成年度考核的扣1分，如法网管理平台信息不真实、不完整扣1分。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6"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20" w:lineRule="exact"/>
              <w:rPr>
                <w:rFonts w:ascii="仿宋_GB2312" w:hAnsi="宋体" w:eastAsia="仿宋_GB2312"/>
                <w:color w:val="000000"/>
                <w:szCs w:val="21"/>
              </w:rPr>
            </w:pPr>
            <w:r>
              <w:rPr>
                <w:rFonts w:hint="eastAsia" w:ascii="仿宋_GB2312" w:eastAsia="仿宋_GB2312"/>
                <w:color w:val="000000"/>
                <w:szCs w:val="21"/>
              </w:rPr>
              <w:t>接受实习人员实习，</w:t>
            </w:r>
            <w:r>
              <w:rPr>
                <w:rFonts w:hint="eastAsia" w:ascii="仿宋_GB2312" w:hAnsi="宋体" w:eastAsia="仿宋_GB2312"/>
                <w:color w:val="000000"/>
                <w:szCs w:val="21"/>
              </w:rPr>
              <w:t>实习人员管理规范，严格按律师协会有关实习考核办法进行实习，无违法违规情形。</w:t>
            </w:r>
          </w:p>
        </w:tc>
        <w:tc>
          <w:tcPr>
            <w:tcW w:w="836" w:type="dxa"/>
            <w:noWrap/>
            <w:vAlign w:val="center"/>
          </w:tcPr>
          <w:p>
            <w:pPr>
              <w:spacing w:line="320" w:lineRule="exact"/>
              <w:jc w:val="center"/>
              <w:rPr>
                <w:rFonts w:eastAsia="仿宋_GB2312" w:cs="Calibri"/>
                <w:color w:val="000000"/>
                <w:sz w:val="24"/>
                <w:szCs w:val="21"/>
              </w:rPr>
            </w:pPr>
            <w:r>
              <w:rPr>
                <w:rFonts w:eastAsia="仿宋_GB2312" w:cs="Calibri"/>
                <w:color w:val="000000"/>
                <w:sz w:val="24"/>
                <w:szCs w:val="21"/>
              </w:rPr>
              <w:t>3</w:t>
            </w:r>
          </w:p>
        </w:tc>
        <w:tc>
          <w:tcPr>
            <w:tcW w:w="840" w:type="dxa"/>
            <w:noWrap/>
            <w:vAlign w:val="center"/>
          </w:tcPr>
          <w:p>
            <w:pPr>
              <w:spacing w:line="32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2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2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2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 xml:space="preserve">实习人员没有实习日志或日志不合要求的扣1分，律师事务所没有对实习指导律师履行指导职责进行监督，或实习指导律师没有履行指导职责的扣1分，律师事务所为实习人员提供挂靠虚假实习，或实习人员有独自承办律师业务等违反规定情形的扣1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restart"/>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业务管理</w:t>
            </w:r>
          </w:p>
          <w:p>
            <w:pPr>
              <w:spacing w:line="280" w:lineRule="exact"/>
              <w:jc w:val="center"/>
              <w:rPr>
                <w:color w:val="000000"/>
                <w:sz w:val="24"/>
              </w:rPr>
            </w:pPr>
            <w:r>
              <w:rPr>
                <w:rFonts w:hint="eastAsia"/>
                <w:color w:val="000000"/>
                <w:sz w:val="24"/>
              </w:rPr>
              <w:t>2</w:t>
            </w:r>
            <w:r>
              <w:rPr>
                <w:color w:val="000000"/>
                <w:sz w:val="24"/>
              </w:rPr>
              <w:t>4分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r>
              <w:rPr>
                <w:rFonts w:hint="eastAsia"/>
                <w:color w:val="000000"/>
                <w:sz w:val="24"/>
              </w:rPr>
              <w:t>业务管理</w:t>
            </w:r>
          </w:p>
          <w:p>
            <w:pPr>
              <w:spacing w:line="280" w:lineRule="exact"/>
              <w:jc w:val="center"/>
              <w:rPr>
                <w:color w:val="000000"/>
                <w:sz w:val="24"/>
              </w:rPr>
            </w:pPr>
            <w:r>
              <w:rPr>
                <w:rFonts w:hint="eastAsia"/>
                <w:color w:val="000000"/>
                <w:sz w:val="24"/>
              </w:rPr>
              <w:t>2</w:t>
            </w:r>
            <w:r>
              <w:rPr>
                <w:color w:val="000000"/>
                <w:sz w:val="24"/>
              </w:rPr>
              <w:t>4分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5579" w:type="dxa"/>
            <w:noWrap/>
            <w:vAlign w:val="center"/>
          </w:tcPr>
          <w:p>
            <w:pPr>
              <w:spacing w:line="320" w:lineRule="exact"/>
              <w:rPr>
                <w:rFonts w:ascii="仿宋_GB2312" w:hAnsi="宋体" w:eastAsia="仿宋_GB2312"/>
                <w:color w:val="000000"/>
                <w:szCs w:val="21"/>
              </w:rPr>
            </w:pPr>
            <w:r>
              <w:rPr>
                <w:rFonts w:hint="eastAsia" w:ascii="仿宋_GB2312" w:hAnsi="宋体" w:eastAsia="仿宋_GB2312"/>
                <w:color w:val="000000"/>
                <w:szCs w:val="21"/>
              </w:rPr>
              <w:t>建立所内业务学习与培训机制，制定业务培训及研讨制度，制定培训计划，定期开展业务研讨或业务培训。</w:t>
            </w:r>
          </w:p>
        </w:tc>
        <w:tc>
          <w:tcPr>
            <w:tcW w:w="836" w:type="dxa"/>
            <w:noWrap/>
            <w:vAlign w:val="center"/>
          </w:tcPr>
          <w:p>
            <w:pPr>
              <w:spacing w:line="320" w:lineRule="exact"/>
              <w:jc w:val="center"/>
              <w:rPr>
                <w:rFonts w:eastAsia="仿宋_GB2312" w:cs="Calibri"/>
                <w:color w:val="000000"/>
                <w:sz w:val="24"/>
                <w:szCs w:val="21"/>
              </w:rPr>
            </w:pPr>
            <w:r>
              <w:rPr>
                <w:rFonts w:hint="eastAsia" w:eastAsia="仿宋_GB2312" w:cs="Calibri"/>
                <w:color w:val="000000"/>
                <w:sz w:val="24"/>
                <w:szCs w:val="21"/>
              </w:rPr>
              <w:t>4</w:t>
            </w:r>
          </w:p>
        </w:tc>
        <w:tc>
          <w:tcPr>
            <w:tcW w:w="840" w:type="dxa"/>
            <w:noWrap/>
            <w:vAlign w:val="center"/>
          </w:tcPr>
          <w:p>
            <w:pPr>
              <w:spacing w:line="320" w:lineRule="exact"/>
              <w:rPr>
                <w:rFonts w:ascii="仿宋_GB2312" w:hAnsi="宋体" w:eastAsia="仿宋_GB2312"/>
                <w:color w:val="000000"/>
                <w:szCs w:val="21"/>
              </w:rPr>
            </w:pPr>
          </w:p>
        </w:tc>
        <w:tc>
          <w:tcPr>
            <w:tcW w:w="742" w:type="dxa"/>
            <w:tcBorders>
              <w:right w:val="single" w:color="auto" w:sz="4" w:space="0"/>
            </w:tcBorders>
            <w:noWrap/>
            <w:vAlign w:val="center"/>
          </w:tcPr>
          <w:p>
            <w:pPr>
              <w:spacing w:line="320" w:lineRule="exact"/>
              <w:rPr>
                <w:rFonts w:ascii="仿宋_GB2312" w:hAnsi="宋体" w:eastAsia="仿宋_GB2312"/>
                <w:color w:val="000000"/>
                <w:szCs w:val="21"/>
              </w:rPr>
            </w:pPr>
          </w:p>
        </w:tc>
        <w:tc>
          <w:tcPr>
            <w:tcW w:w="4826" w:type="dxa"/>
            <w:tcBorders>
              <w:left w:val="single" w:color="auto" w:sz="4" w:space="0"/>
            </w:tcBorders>
            <w:noWrap/>
            <w:vAlign w:val="center"/>
          </w:tcPr>
          <w:p>
            <w:pPr>
              <w:spacing w:line="32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2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没有制定业务培训及研讨制度的扣1分，没有培训计划和没有实施培训或研讨的扣2分，没有参加司法行政机关或律协组织的培训的扣2分。</w:t>
            </w:r>
          </w:p>
          <w:p>
            <w:pPr>
              <w:spacing w:line="320" w:lineRule="exact"/>
              <w:rPr>
                <w:rFonts w:ascii="仿宋_GB2312" w:hAnsi="宋体" w:eastAsia="仿宋_GB2312"/>
                <w:color w:val="000000"/>
                <w:szCs w:val="21"/>
              </w:rPr>
            </w:pPr>
            <w:r>
              <w:rPr>
                <w:rFonts w:hint="eastAsia" w:ascii="仿宋_GB2312" w:hAnsi="宋体" w:eastAsia="仿宋_GB2312"/>
                <w:b/>
                <w:color w:val="000000"/>
                <w:szCs w:val="21"/>
              </w:rPr>
              <w:t>加分项：</w:t>
            </w:r>
            <w:r>
              <w:rPr>
                <w:rFonts w:hint="eastAsia" w:ascii="仿宋_GB2312" w:hAnsi="宋体" w:eastAsia="仿宋_GB2312"/>
                <w:color w:val="000000"/>
                <w:szCs w:val="21"/>
              </w:rPr>
              <w:t>专职律师在省级以上刊物发表专业论文的加1分，出版专著、译著的加2分。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5"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20" w:lineRule="exact"/>
              <w:rPr>
                <w:rFonts w:ascii="仿宋_GB2312" w:hAnsi="宋体" w:eastAsia="仿宋_GB2312"/>
                <w:color w:val="000000"/>
                <w:szCs w:val="21"/>
              </w:rPr>
            </w:pPr>
            <w:r>
              <w:rPr>
                <w:rFonts w:hint="eastAsia" w:ascii="仿宋_GB2312" w:hAnsi="宋体" w:eastAsia="仿宋_GB2312"/>
                <w:color w:val="000000"/>
                <w:szCs w:val="21"/>
              </w:rPr>
              <w:t>律所制定并严格执行统一收案和收案审批制度，规范收案审批流程和《案件受理审批表》，律师不得私自收案。</w:t>
            </w:r>
          </w:p>
        </w:tc>
        <w:tc>
          <w:tcPr>
            <w:tcW w:w="836" w:type="dxa"/>
            <w:noWrap/>
            <w:vAlign w:val="center"/>
          </w:tcPr>
          <w:p>
            <w:pPr>
              <w:spacing w:line="320" w:lineRule="exact"/>
              <w:jc w:val="center"/>
              <w:rPr>
                <w:rFonts w:eastAsia="仿宋_GB2312" w:cs="Calibri"/>
                <w:color w:val="000000"/>
                <w:sz w:val="24"/>
                <w:szCs w:val="21"/>
              </w:rPr>
            </w:pPr>
            <w:r>
              <w:rPr>
                <w:rFonts w:eastAsia="仿宋_GB2312" w:cs="Calibri"/>
                <w:color w:val="000000"/>
                <w:sz w:val="24"/>
                <w:szCs w:val="21"/>
              </w:rPr>
              <w:t>2</w:t>
            </w:r>
          </w:p>
        </w:tc>
        <w:tc>
          <w:tcPr>
            <w:tcW w:w="840" w:type="dxa"/>
            <w:noWrap/>
            <w:vAlign w:val="center"/>
          </w:tcPr>
          <w:p>
            <w:pPr>
              <w:spacing w:line="320" w:lineRule="exact"/>
              <w:rPr>
                <w:rFonts w:ascii="仿宋_GB2312" w:hAnsi="宋体" w:eastAsia="仿宋_GB2312"/>
                <w:color w:val="000000"/>
                <w:szCs w:val="21"/>
              </w:rPr>
            </w:pPr>
          </w:p>
        </w:tc>
        <w:tc>
          <w:tcPr>
            <w:tcW w:w="742" w:type="dxa"/>
            <w:tcBorders>
              <w:right w:val="single" w:color="auto" w:sz="4" w:space="0"/>
            </w:tcBorders>
            <w:noWrap/>
            <w:vAlign w:val="center"/>
          </w:tcPr>
          <w:p>
            <w:pPr>
              <w:spacing w:line="320" w:lineRule="exact"/>
              <w:rPr>
                <w:rFonts w:ascii="仿宋_GB2312" w:hAnsi="宋体" w:eastAsia="仿宋_GB2312"/>
                <w:color w:val="000000"/>
                <w:szCs w:val="21"/>
              </w:rPr>
            </w:pPr>
          </w:p>
        </w:tc>
        <w:tc>
          <w:tcPr>
            <w:tcW w:w="4826" w:type="dxa"/>
            <w:tcBorders>
              <w:left w:val="single" w:color="auto" w:sz="4" w:space="0"/>
            </w:tcBorders>
            <w:noWrap/>
            <w:vAlign w:val="center"/>
          </w:tcPr>
          <w:p>
            <w:pPr>
              <w:spacing w:line="320" w:lineRule="exact"/>
              <w:rPr>
                <w:rFonts w:ascii="仿宋_GB2312" w:hAnsi="宋体"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szCs w:val="21"/>
              </w:rPr>
              <w:t>查验登记表、审批表等。</w:t>
            </w:r>
          </w:p>
          <w:p>
            <w:pPr>
              <w:spacing w:line="32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：未严格执行相关收案审批制度或收案审批流程不规范的扣1分，有私自收案的扣1分。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4"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color w:val="000000"/>
                <w:szCs w:val="21"/>
              </w:rPr>
              <w:t>严格按照《律师服务收费管理办法》收费，实行统一收费和收费审查制度，律师服务费和异地办案差旅费用由律所统一收取、统一结算，及时开具发票，不得收费不开票或者开具白条收据，并由主任或者指定的合伙人或者管理部门负责审查，律师不得私自收取任何费用。</w:t>
            </w:r>
          </w:p>
        </w:tc>
        <w:tc>
          <w:tcPr>
            <w:tcW w:w="836" w:type="dxa"/>
            <w:noWrap/>
            <w:vAlign w:val="center"/>
          </w:tcPr>
          <w:p>
            <w:pPr>
              <w:spacing w:line="28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80" w:lineRule="exact"/>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没有开具发票的扣1分，没有专人审查的扣1分。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1"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color w:val="000000"/>
                <w:szCs w:val="21"/>
              </w:rPr>
              <w:t>建立健全律师业务收案和结案制度，律师事务所对律师收案、结案切实进行审查、监督。</w:t>
            </w:r>
          </w:p>
        </w:tc>
        <w:tc>
          <w:tcPr>
            <w:tcW w:w="836" w:type="dxa"/>
            <w:noWrap/>
            <w:vAlign w:val="center"/>
          </w:tcPr>
          <w:p>
            <w:pPr>
              <w:spacing w:line="280" w:lineRule="exact"/>
              <w:jc w:val="center"/>
              <w:rPr>
                <w:rFonts w:eastAsia="仿宋_GB2312" w:cs="Calibri"/>
                <w:color w:val="000000"/>
                <w:sz w:val="24"/>
                <w:szCs w:val="21"/>
              </w:rPr>
            </w:pPr>
            <w:r>
              <w:rPr>
                <w:rFonts w:hint="eastAsia" w:eastAsia="仿宋_GB2312" w:cs="Calibri"/>
                <w:color w:val="000000"/>
                <w:sz w:val="24"/>
                <w:szCs w:val="21"/>
              </w:rPr>
              <w:t>3</w:t>
            </w:r>
          </w:p>
        </w:tc>
        <w:tc>
          <w:tcPr>
            <w:tcW w:w="840" w:type="dxa"/>
            <w:noWrap/>
            <w:vAlign w:val="center"/>
          </w:tcPr>
          <w:p>
            <w:pPr>
              <w:spacing w:line="28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没有对律师业务收、结案进行登记的扣2分，没有审批表及审批意见的扣1分。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color w:val="000000"/>
                <w:szCs w:val="21"/>
              </w:rPr>
              <w:t xml:space="preserve">建立诉讼风险管理制度。在承接律师业务时要告知当事人诉讼风险。 </w:t>
            </w:r>
          </w:p>
        </w:tc>
        <w:tc>
          <w:tcPr>
            <w:tcW w:w="836" w:type="dxa"/>
            <w:noWrap/>
            <w:vAlign w:val="center"/>
          </w:tcPr>
          <w:p>
            <w:pPr>
              <w:spacing w:line="280" w:lineRule="exact"/>
              <w:jc w:val="center"/>
              <w:rPr>
                <w:rFonts w:eastAsia="仿宋_GB2312" w:cs="Calibri"/>
                <w:color w:val="000000"/>
                <w:sz w:val="24"/>
                <w:szCs w:val="21"/>
              </w:rPr>
            </w:pPr>
            <w:r>
              <w:rPr>
                <w:rFonts w:eastAsia="仿宋_GB2312" w:cs="Calibri"/>
                <w:color w:val="000000"/>
                <w:sz w:val="24"/>
                <w:szCs w:val="21"/>
              </w:rPr>
              <w:t>2</w:t>
            </w:r>
          </w:p>
        </w:tc>
        <w:tc>
          <w:tcPr>
            <w:tcW w:w="840" w:type="dxa"/>
            <w:noWrap/>
            <w:vAlign w:val="center"/>
          </w:tcPr>
          <w:p>
            <w:pPr>
              <w:spacing w:line="28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查看案件归档材料，访谈当事人。</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：未建立诉讼风险管理制度的扣</w:t>
            </w:r>
            <w:r>
              <w:rPr>
                <w:rFonts w:ascii="仿宋_GB2312" w:eastAsia="仿宋_GB2312"/>
                <w:color w:val="000000"/>
                <w:szCs w:val="21"/>
              </w:rPr>
              <w:t>1分</w:t>
            </w:r>
            <w:r>
              <w:rPr>
                <w:rFonts w:hint="eastAsia" w:ascii="仿宋_GB2312" w:eastAsia="仿宋_GB2312"/>
                <w:color w:val="000000"/>
                <w:szCs w:val="21"/>
              </w:rPr>
              <w:t>，</w:t>
            </w:r>
            <w:r>
              <w:rPr>
                <w:rFonts w:hint="eastAsia" w:ascii="仿宋_GB2312" w:hAnsi="宋体" w:eastAsia="仿宋_GB2312"/>
                <w:szCs w:val="21"/>
              </w:rPr>
              <w:t>没告知当事人诉讼风险的扣1分。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color w:val="000000"/>
                <w:szCs w:val="21"/>
              </w:rPr>
              <w:t>建立利益冲突审查制度。成立利益冲突审查小组或确定专人负责审查工作，承接业务时有专门的利益冲突审查审批程序，并有专人负责审查。</w:t>
            </w:r>
          </w:p>
        </w:tc>
        <w:tc>
          <w:tcPr>
            <w:tcW w:w="836" w:type="dxa"/>
            <w:noWrap/>
            <w:vAlign w:val="center"/>
          </w:tcPr>
          <w:p>
            <w:pPr>
              <w:spacing w:line="280" w:lineRule="exact"/>
              <w:jc w:val="center"/>
              <w:rPr>
                <w:rFonts w:eastAsia="仿宋_GB2312" w:cs="Calibri"/>
                <w:color w:val="000000"/>
                <w:sz w:val="24"/>
                <w:szCs w:val="21"/>
              </w:rPr>
            </w:pPr>
            <w:r>
              <w:rPr>
                <w:rFonts w:hint="eastAsia" w:eastAsia="仿宋_GB2312" w:cs="Calibri"/>
                <w:color w:val="000000"/>
                <w:sz w:val="24"/>
                <w:szCs w:val="21"/>
              </w:rPr>
              <w:t>3</w:t>
            </w:r>
          </w:p>
        </w:tc>
        <w:tc>
          <w:tcPr>
            <w:tcW w:w="840" w:type="dxa"/>
            <w:noWrap/>
            <w:vAlign w:val="center"/>
          </w:tcPr>
          <w:p>
            <w:pPr>
              <w:spacing w:line="28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没有制定利益冲突审查制度的，扣2分，没有利益冲突审查审批程序和专人审查的扣1分。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szCs w:val="21"/>
              </w:rPr>
              <w:t>委托合同符合法律、法规和规范性文件的要求，所制定的条款要素基本完备。</w:t>
            </w:r>
          </w:p>
        </w:tc>
        <w:tc>
          <w:tcPr>
            <w:tcW w:w="836" w:type="dxa"/>
            <w:noWrap/>
            <w:vAlign w:val="center"/>
          </w:tcPr>
          <w:p>
            <w:pPr>
              <w:spacing w:line="28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80" w:lineRule="exact"/>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szCs w:val="21"/>
              </w:rPr>
              <w:t>委托合同不符合法律、法规和规范性文件要求的扣1分，委托合同基本要素条款不全的扣1分。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color w:val="000000"/>
                <w:szCs w:val="21"/>
              </w:rPr>
              <w:t>建立业务拓展机制，律师事务所业务范围和业务量逐年增加。</w:t>
            </w:r>
          </w:p>
        </w:tc>
        <w:tc>
          <w:tcPr>
            <w:tcW w:w="836" w:type="dxa"/>
            <w:noWrap/>
            <w:vAlign w:val="center"/>
          </w:tcPr>
          <w:p>
            <w:pPr>
              <w:spacing w:line="280" w:lineRule="exact"/>
              <w:jc w:val="center"/>
              <w:rPr>
                <w:rFonts w:eastAsia="仿宋_GB2312" w:cs="Calibri"/>
                <w:color w:val="000000"/>
                <w:sz w:val="24"/>
                <w:szCs w:val="21"/>
              </w:rPr>
            </w:pPr>
            <w:r>
              <w:rPr>
                <w:rFonts w:eastAsia="仿宋_GB2312" w:cs="Calibri"/>
                <w:color w:val="000000"/>
                <w:sz w:val="24"/>
                <w:szCs w:val="21"/>
              </w:rPr>
              <w:t>2</w:t>
            </w:r>
          </w:p>
        </w:tc>
        <w:tc>
          <w:tcPr>
            <w:tcW w:w="840" w:type="dxa"/>
            <w:noWrap/>
            <w:vAlign w:val="center"/>
          </w:tcPr>
          <w:p>
            <w:pPr>
              <w:spacing w:line="28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律师事务所没有建立业务拓展机制的扣2分。</w:t>
            </w:r>
          </w:p>
          <w:p>
            <w:pPr>
              <w:spacing w:line="280" w:lineRule="exact"/>
              <w:rPr>
                <w:rFonts w:ascii="仿宋_GB2312" w:hAnsi="宋体" w:eastAsia="仿宋_GB2312"/>
                <w:color w:val="000000"/>
                <w:szCs w:val="21"/>
              </w:rPr>
            </w:pPr>
            <w:r>
              <w:rPr>
                <w:rFonts w:hint="eastAsia" w:ascii="仿宋_GB2312" w:hAnsi="宋体" w:eastAsia="仿宋_GB2312"/>
                <w:b/>
                <w:color w:val="000000"/>
                <w:spacing w:val="-6"/>
                <w:szCs w:val="21"/>
              </w:rPr>
              <w:t>加分项：</w:t>
            </w:r>
            <w:r>
              <w:rPr>
                <w:rFonts w:hint="eastAsia" w:ascii="仿宋_GB2312" w:hAnsi="宋体" w:eastAsia="仿宋_GB2312"/>
                <w:color w:val="000000"/>
                <w:spacing w:val="-6"/>
                <w:szCs w:val="21"/>
              </w:rPr>
              <w:t>律师事务所拓展新兴业务领域成绩突出的加2分。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color w:val="000000"/>
                <w:szCs w:val="21"/>
              </w:rPr>
              <w:t>律师事务所及律师对外宣传推广符合有关规定，无虚假承诺或不正当手段竞争业务的行为。</w:t>
            </w:r>
          </w:p>
        </w:tc>
        <w:tc>
          <w:tcPr>
            <w:tcW w:w="836" w:type="dxa"/>
            <w:noWrap/>
            <w:vAlign w:val="center"/>
          </w:tcPr>
          <w:p>
            <w:pPr>
              <w:spacing w:line="28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8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查看相关资料，访谈律师及有关客户。</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律师事务所网站、律师名片、律师网站及宣传媒介上的业务宣传推广内容违反规定，有夸大、不实及不正当竞争行为的扣2分。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280" w:lineRule="exact"/>
              <w:rPr>
                <w:rFonts w:ascii="仿宋_GB2312" w:hAnsi="宋体" w:eastAsia="仿宋_GB2312"/>
                <w:color w:val="000000"/>
                <w:szCs w:val="21"/>
              </w:rPr>
            </w:pPr>
            <w:r>
              <w:rPr>
                <w:rFonts w:hint="eastAsia" w:ascii="仿宋_GB2312" w:hAnsi="宋体" w:eastAsia="仿宋_GB2312"/>
                <w:color w:val="000000"/>
                <w:szCs w:val="21"/>
              </w:rPr>
              <w:t>律师业务档案管理制度完善，专人负责、分类归档、统一管理，归档材料应齐备、完好，符合档案卷宗标准。</w:t>
            </w:r>
          </w:p>
        </w:tc>
        <w:tc>
          <w:tcPr>
            <w:tcW w:w="836" w:type="dxa"/>
            <w:noWrap/>
            <w:vAlign w:val="center"/>
          </w:tcPr>
          <w:p>
            <w:pPr>
              <w:spacing w:line="280" w:lineRule="exact"/>
              <w:jc w:val="center"/>
              <w:rPr>
                <w:rFonts w:eastAsia="仿宋_GB2312" w:cs="Calibri"/>
                <w:color w:val="000000"/>
                <w:sz w:val="24"/>
                <w:szCs w:val="21"/>
              </w:rPr>
            </w:pPr>
            <w:r>
              <w:rPr>
                <w:rFonts w:hint="eastAsia" w:eastAsia="仿宋_GB2312" w:cs="Calibri"/>
                <w:color w:val="000000"/>
                <w:sz w:val="24"/>
                <w:szCs w:val="21"/>
              </w:rPr>
              <w:t>2</w:t>
            </w:r>
          </w:p>
        </w:tc>
        <w:tc>
          <w:tcPr>
            <w:tcW w:w="840" w:type="dxa"/>
            <w:noWrap/>
            <w:vAlign w:val="center"/>
          </w:tcPr>
          <w:p>
            <w:pPr>
              <w:spacing w:line="28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28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w:t>
            </w:r>
          </w:p>
          <w:p>
            <w:pPr>
              <w:spacing w:line="28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没有建立律师业务档案管理制度的扣1分，没有实行专人负责、分类归档、统一管理，或归档材料不齐全不完整的扣1分。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16" w:type="dxa"/>
            <w:vMerge w:val="continue"/>
            <w:noWrap/>
            <w:vAlign w:val="center"/>
          </w:tcPr>
          <w:p>
            <w:pPr>
              <w:spacing w:line="280" w:lineRule="exact"/>
              <w:jc w:val="center"/>
              <w:rPr>
                <w:color w:val="000000"/>
                <w:sz w:val="24"/>
              </w:rPr>
            </w:pPr>
          </w:p>
        </w:tc>
        <w:tc>
          <w:tcPr>
            <w:tcW w:w="868" w:type="dxa"/>
            <w:vMerge w:val="restart"/>
            <w:tcBorders>
              <w:right w:val="single" w:color="auto" w:sz="4" w:space="0"/>
            </w:tcBorders>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质量管理</w:t>
            </w:r>
          </w:p>
          <w:p>
            <w:pPr>
              <w:spacing w:line="280" w:lineRule="exact"/>
              <w:jc w:val="center"/>
              <w:rPr>
                <w:color w:val="000000"/>
                <w:sz w:val="24"/>
              </w:rPr>
            </w:pPr>
            <w:r>
              <w:rPr>
                <w:color w:val="000000"/>
                <w:sz w:val="24"/>
              </w:rPr>
              <w:t>8分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5579" w:type="dxa"/>
            <w:tcBorders>
              <w:left w:val="single" w:color="auto" w:sz="4" w:space="0"/>
            </w:tcBorders>
            <w:noWrap/>
            <w:vAlign w:val="center"/>
          </w:tcPr>
          <w:p>
            <w:pPr>
              <w:spacing w:line="330" w:lineRule="exact"/>
              <w:rPr>
                <w:rFonts w:ascii="仿宋_GB2312" w:hAnsi="宋体" w:eastAsia="仿宋_GB2312"/>
                <w:color w:val="000000"/>
                <w:szCs w:val="21"/>
              </w:rPr>
            </w:pPr>
            <w:r>
              <w:rPr>
                <w:rFonts w:hint="eastAsia" w:ascii="仿宋_GB2312" w:hAnsi="宋体" w:eastAsia="仿宋_GB2312"/>
                <w:color w:val="000000"/>
                <w:szCs w:val="21"/>
              </w:rPr>
              <w:t>建立案件</w:t>
            </w:r>
            <w:r>
              <w:rPr>
                <w:rFonts w:hint="eastAsia" w:ascii="仿宋_GB2312" w:hAnsi="宋体" w:eastAsia="仿宋_GB2312"/>
                <w:color w:val="000000"/>
                <w:szCs w:val="21"/>
                <w:lang w:val="zh-CN"/>
              </w:rPr>
              <w:t>质量监督机制</w:t>
            </w:r>
            <w:r>
              <w:rPr>
                <w:rFonts w:hint="eastAsia" w:ascii="仿宋_GB2312" w:hAnsi="宋体" w:eastAsia="仿宋_GB2312"/>
                <w:color w:val="000000"/>
                <w:szCs w:val="21"/>
              </w:rPr>
              <w:t>，律所应当制定质量监督管理办法，明确监督管理责任，建立当事人回访和质量跟踪反馈制度，对律师法律服务的主要环节及时进行监督检查。</w:t>
            </w:r>
          </w:p>
        </w:tc>
        <w:tc>
          <w:tcPr>
            <w:tcW w:w="836" w:type="dxa"/>
            <w:noWrap/>
            <w:vAlign w:val="center"/>
          </w:tcPr>
          <w:p>
            <w:pPr>
              <w:spacing w:line="330" w:lineRule="exact"/>
              <w:jc w:val="center"/>
              <w:rPr>
                <w:rFonts w:eastAsia="仿宋_GB2312" w:cs="Calibri"/>
                <w:color w:val="000000"/>
                <w:sz w:val="24"/>
                <w:szCs w:val="21"/>
              </w:rPr>
            </w:pPr>
            <w:r>
              <w:rPr>
                <w:rFonts w:eastAsia="仿宋_GB2312" w:cs="Calibri"/>
                <w:color w:val="000000"/>
                <w:sz w:val="24"/>
                <w:szCs w:val="21"/>
              </w:rPr>
              <w:t>3</w:t>
            </w:r>
          </w:p>
        </w:tc>
        <w:tc>
          <w:tcPr>
            <w:tcW w:w="840" w:type="dxa"/>
            <w:noWrap/>
            <w:vAlign w:val="center"/>
          </w:tcPr>
          <w:p>
            <w:pPr>
              <w:spacing w:line="33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3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3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查看相关资料，访谈当事人。</w:t>
            </w:r>
          </w:p>
          <w:p>
            <w:pPr>
              <w:spacing w:line="33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没有建立服务质量监督反馈制度的扣</w:t>
            </w:r>
            <w:r>
              <w:rPr>
                <w:rFonts w:ascii="仿宋_GB2312" w:hAnsi="宋体" w:eastAsia="仿宋_GB2312"/>
                <w:color w:val="000000"/>
                <w:szCs w:val="21"/>
              </w:rPr>
              <w:t>1</w:t>
            </w:r>
            <w:r>
              <w:rPr>
                <w:rFonts w:hint="eastAsia" w:ascii="仿宋_GB2312" w:hAnsi="宋体" w:eastAsia="仿宋_GB2312"/>
                <w:color w:val="000000"/>
                <w:szCs w:val="21"/>
              </w:rPr>
              <w:t>分，没有服务质量监督反馈内容的扣2分。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0" w:hRule="atLeast"/>
        </w:trPr>
        <w:tc>
          <w:tcPr>
            <w:tcW w:w="516" w:type="dxa"/>
            <w:vMerge w:val="continue"/>
            <w:noWrap/>
            <w:vAlign w:val="center"/>
          </w:tcPr>
          <w:p>
            <w:pPr>
              <w:spacing w:line="280" w:lineRule="exact"/>
              <w:jc w:val="center"/>
              <w:rPr>
                <w:color w:val="000000"/>
                <w:sz w:val="24"/>
              </w:rPr>
            </w:pPr>
          </w:p>
        </w:tc>
        <w:tc>
          <w:tcPr>
            <w:tcW w:w="868" w:type="dxa"/>
            <w:vMerge w:val="continue"/>
            <w:tcBorders>
              <w:right w:val="single" w:color="auto" w:sz="4" w:space="0"/>
            </w:tcBorders>
            <w:noWrap/>
            <w:vAlign w:val="center"/>
          </w:tcPr>
          <w:p>
            <w:pPr>
              <w:spacing w:line="280" w:lineRule="exact"/>
              <w:jc w:val="center"/>
              <w:rPr>
                <w:color w:val="000000"/>
                <w:sz w:val="24"/>
              </w:rPr>
            </w:pPr>
          </w:p>
        </w:tc>
        <w:tc>
          <w:tcPr>
            <w:tcW w:w="5579" w:type="dxa"/>
            <w:tcBorders>
              <w:left w:val="single" w:color="auto" w:sz="4" w:space="0"/>
              <w:bottom w:val="single" w:color="auto" w:sz="4" w:space="0"/>
            </w:tcBorders>
            <w:noWrap/>
            <w:vAlign w:val="center"/>
          </w:tcPr>
          <w:p>
            <w:pPr>
              <w:spacing w:line="330" w:lineRule="exact"/>
              <w:jc w:val="left"/>
              <w:rPr>
                <w:rFonts w:ascii="仿宋_GB2312" w:hAnsi="宋体" w:eastAsia="仿宋_GB2312"/>
                <w:color w:val="000000"/>
                <w:szCs w:val="21"/>
              </w:rPr>
            </w:pPr>
          </w:p>
          <w:p>
            <w:pPr>
              <w:spacing w:line="330" w:lineRule="exact"/>
              <w:rPr>
                <w:rFonts w:ascii="仿宋_GB2312" w:hAnsi="宋体" w:eastAsia="仿宋_GB2312"/>
                <w:color w:val="000000"/>
                <w:szCs w:val="21"/>
              </w:rPr>
            </w:pPr>
            <w:r>
              <w:rPr>
                <w:rFonts w:hint="eastAsia" w:ascii="仿宋_GB2312" w:hAnsi="宋体" w:eastAsia="仿宋_GB2312"/>
                <w:color w:val="000000"/>
                <w:szCs w:val="21"/>
              </w:rPr>
              <w:t>建立律师办理业务日志管理制度，对律师办理业务进行全程监管。律师严格按照业务操作规程办理业务。</w:t>
            </w:r>
          </w:p>
          <w:p>
            <w:pPr>
              <w:spacing w:line="330" w:lineRule="exact"/>
              <w:rPr>
                <w:rFonts w:ascii="仿宋_GB2312" w:hAnsi="宋体" w:eastAsia="仿宋_GB2312"/>
                <w:color w:val="000000"/>
                <w:szCs w:val="21"/>
              </w:rPr>
            </w:pPr>
          </w:p>
        </w:tc>
        <w:tc>
          <w:tcPr>
            <w:tcW w:w="836" w:type="dxa"/>
            <w:tcBorders>
              <w:bottom w:val="single" w:color="auto" w:sz="4" w:space="0"/>
            </w:tcBorders>
            <w:noWrap/>
            <w:vAlign w:val="center"/>
          </w:tcPr>
          <w:p>
            <w:pPr>
              <w:spacing w:line="330" w:lineRule="exact"/>
              <w:jc w:val="center"/>
              <w:rPr>
                <w:rFonts w:eastAsia="仿宋_GB2312" w:cs="Calibri"/>
                <w:color w:val="000000"/>
                <w:sz w:val="24"/>
                <w:szCs w:val="21"/>
              </w:rPr>
            </w:pPr>
          </w:p>
          <w:p>
            <w:pPr>
              <w:spacing w:line="330" w:lineRule="exact"/>
              <w:jc w:val="center"/>
              <w:rPr>
                <w:rFonts w:eastAsia="仿宋_GB2312" w:cs="Calibri"/>
                <w:color w:val="000000"/>
                <w:sz w:val="24"/>
                <w:szCs w:val="21"/>
              </w:rPr>
            </w:pPr>
          </w:p>
          <w:p>
            <w:pPr>
              <w:spacing w:line="330" w:lineRule="exact"/>
              <w:jc w:val="center"/>
              <w:rPr>
                <w:rFonts w:eastAsia="仿宋_GB2312" w:cs="Calibri"/>
                <w:color w:val="000000"/>
                <w:sz w:val="24"/>
                <w:szCs w:val="21"/>
              </w:rPr>
            </w:pPr>
            <w:r>
              <w:rPr>
                <w:rFonts w:hint="eastAsia" w:eastAsia="仿宋_GB2312" w:cs="Calibri"/>
                <w:color w:val="000000"/>
                <w:sz w:val="24"/>
                <w:szCs w:val="21"/>
              </w:rPr>
              <w:t>2</w:t>
            </w:r>
          </w:p>
          <w:p>
            <w:pPr>
              <w:spacing w:line="330" w:lineRule="exact"/>
              <w:jc w:val="center"/>
              <w:rPr>
                <w:rFonts w:eastAsia="仿宋_GB2312" w:cs="Calibri"/>
                <w:color w:val="000000"/>
                <w:sz w:val="24"/>
                <w:szCs w:val="21"/>
              </w:rPr>
            </w:pPr>
          </w:p>
          <w:p>
            <w:pPr>
              <w:spacing w:line="330" w:lineRule="exact"/>
              <w:jc w:val="center"/>
              <w:rPr>
                <w:rFonts w:eastAsia="仿宋_GB2312" w:cs="Calibri"/>
                <w:color w:val="000000"/>
                <w:sz w:val="24"/>
                <w:szCs w:val="21"/>
              </w:rPr>
            </w:pPr>
          </w:p>
          <w:p>
            <w:pPr>
              <w:spacing w:line="330" w:lineRule="exact"/>
              <w:rPr>
                <w:rFonts w:eastAsia="仿宋_GB2312" w:cs="Calibri"/>
                <w:color w:val="000000"/>
                <w:sz w:val="24"/>
                <w:szCs w:val="21"/>
              </w:rPr>
            </w:pPr>
          </w:p>
        </w:tc>
        <w:tc>
          <w:tcPr>
            <w:tcW w:w="840" w:type="dxa"/>
            <w:tcBorders>
              <w:bottom w:val="single" w:color="auto" w:sz="4" w:space="0"/>
            </w:tcBorders>
            <w:noWrap/>
            <w:vAlign w:val="center"/>
          </w:tcPr>
          <w:p>
            <w:pPr>
              <w:spacing w:line="330" w:lineRule="exact"/>
              <w:jc w:val="center"/>
              <w:rPr>
                <w:rFonts w:ascii="仿宋_GB2312" w:hAnsi="宋体" w:eastAsia="仿宋_GB2312"/>
                <w:color w:val="000000"/>
                <w:szCs w:val="21"/>
              </w:rPr>
            </w:pPr>
          </w:p>
        </w:tc>
        <w:tc>
          <w:tcPr>
            <w:tcW w:w="742" w:type="dxa"/>
            <w:tcBorders>
              <w:bottom w:val="single" w:color="auto" w:sz="4" w:space="0"/>
              <w:right w:val="single" w:color="auto" w:sz="4" w:space="0"/>
            </w:tcBorders>
            <w:noWrap/>
            <w:vAlign w:val="center"/>
          </w:tcPr>
          <w:p>
            <w:pPr>
              <w:spacing w:line="330" w:lineRule="exact"/>
              <w:jc w:val="center"/>
              <w:rPr>
                <w:rFonts w:ascii="仿宋_GB2312" w:hAnsi="宋体" w:eastAsia="仿宋_GB2312"/>
                <w:color w:val="000000"/>
                <w:szCs w:val="21"/>
              </w:rPr>
            </w:pPr>
          </w:p>
        </w:tc>
        <w:tc>
          <w:tcPr>
            <w:tcW w:w="4826" w:type="dxa"/>
            <w:tcBorders>
              <w:left w:val="single" w:color="auto" w:sz="4" w:space="0"/>
              <w:bottom w:val="single" w:color="auto" w:sz="4" w:space="0"/>
            </w:tcBorders>
            <w:noWrap/>
            <w:vAlign w:val="center"/>
          </w:tcPr>
          <w:p>
            <w:pPr>
              <w:spacing w:line="33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3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没有建立律师业务日志管理的扣1分，没有按照律师协会或律师事务所制定的业务操作规程办理的扣1分。</w:t>
            </w:r>
          </w:p>
          <w:p>
            <w:pPr>
              <w:spacing w:line="33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3" w:hRule="atLeast"/>
        </w:trPr>
        <w:tc>
          <w:tcPr>
            <w:tcW w:w="516" w:type="dxa"/>
            <w:vMerge w:val="continue"/>
            <w:noWrap/>
            <w:vAlign w:val="center"/>
          </w:tcPr>
          <w:p>
            <w:pPr>
              <w:spacing w:line="280" w:lineRule="exact"/>
              <w:jc w:val="center"/>
              <w:rPr>
                <w:color w:val="000000"/>
                <w:sz w:val="24"/>
              </w:rPr>
            </w:pPr>
          </w:p>
        </w:tc>
        <w:tc>
          <w:tcPr>
            <w:tcW w:w="868" w:type="dxa"/>
            <w:vMerge w:val="continue"/>
            <w:tcBorders>
              <w:bottom w:val="single" w:color="auto" w:sz="4" w:space="0"/>
              <w:right w:val="single" w:color="auto" w:sz="4" w:space="0"/>
            </w:tcBorders>
            <w:noWrap/>
            <w:vAlign w:val="center"/>
          </w:tcPr>
          <w:p>
            <w:pPr>
              <w:spacing w:line="280" w:lineRule="exact"/>
              <w:jc w:val="center"/>
              <w:rPr>
                <w:color w:val="000000"/>
                <w:sz w:val="24"/>
              </w:rPr>
            </w:pPr>
          </w:p>
        </w:tc>
        <w:tc>
          <w:tcPr>
            <w:tcW w:w="5579" w:type="dxa"/>
            <w:tcBorders>
              <w:top w:val="single" w:color="auto" w:sz="4" w:space="0"/>
              <w:left w:val="single" w:color="auto" w:sz="4" w:space="0"/>
            </w:tcBorders>
            <w:noWrap/>
            <w:vAlign w:val="center"/>
          </w:tcPr>
          <w:p>
            <w:pPr>
              <w:spacing w:line="330" w:lineRule="exact"/>
              <w:rPr>
                <w:rStyle w:val="6"/>
                <w:rFonts w:ascii="仿宋_GB2312" w:hAnsi="宋体" w:eastAsia="仿宋_GB2312"/>
                <w:color w:val="000000"/>
                <w:sz w:val="21"/>
                <w:szCs w:val="21"/>
              </w:rPr>
            </w:pPr>
            <w:r>
              <w:rPr>
                <w:rFonts w:hint="eastAsia" w:ascii="仿宋_GB2312" w:hAnsi="宋体" w:eastAsia="仿宋_GB2312"/>
                <w:color w:val="000000"/>
                <w:szCs w:val="21"/>
              </w:rPr>
              <w:t>建立重大疑难案件集体讨论制度。对</w:t>
            </w:r>
            <w:r>
              <w:rPr>
                <w:rFonts w:hint="eastAsia" w:ascii="仿宋_GB2312" w:hAnsi="宋体" w:eastAsia="仿宋_GB2312"/>
                <w:color w:val="000000"/>
                <w:szCs w:val="21"/>
                <w:lang w:val="zh-CN"/>
              </w:rPr>
              <w:t>重大</w:t>
            </w:r>
            <w:r>
              <w:rPr>
                <w:rFonts w:hint="eastAsia" w:ascii="仿宋_GB2312" w:hAnsi="宋体" w:eastAsia="仿宋_GB2312"/>
                <w:color w:val="000000"/>
                <w:szCs w:val="21"/>
              </w:rPr>
              <w:t>、复杂、疑难、新型及敏感案件，或者社会影响面较广案件进行集体研究讨论，</w:t>
            </w:r>
            <w:r>
              <w:rPr>
                <w:rStyle w:val="6"/>
                <w:rFonts w:hint="eastAsia" w:ascii="仿宋_GB2312" w:hAnsi="宋体" w:eastAsia="仿宋_GB2312"/>
                <w:color w:val="000000"/>
                <w:sz w:val="21"/>
                <w:szCs w:val="21"/>
              </w:rPr>
              <w:t>提升法律服务的质量。</w:t>
            </w:r>
          </w:p>
          <w:p>
            <w:pPr>
              <w:spacing w:line="330" w:lineRule="exact"/>
              <w:rPr>
                <w:rFonts w:ascii="仿宋_GB2312" w:hAnsi="宋体" w:eastAsia="仿宋_GB2312"/>
                <w:color w:val="000000"/>
                <w:szCs w:val="21"/>
              </w:rPr>
            </w:pPr>
          </w:p>
        </w:tc>
        <w:tc>
          <w:tcPr>
            <w:tcW w:w="836" w:type="dxa"/>
            <w:tcBorders>
              <w:top w:val="single" w:color="auto" w:sz="4" w:space="0"/>
            </w:tcBorders>
            <w:noWrap/>
            <w:vAlign w:val="center"/>
          </w:tcPr>
          <w:p>
            <w:pPr>
              <w:spacing w:line="330" w:lineRule="exact"/>
              <w:jc w:val="center"/>
              <w:rPr>
                <w:rFonts w:eastAsia="仿宋_GB2312" w:cs="Calibri"/>
                <w:color w:val="000000"/>
                <w:sz w:val="24"/>
                <w:szCs w:val="21"/>
              </w:rPr>
            </w:pPr>
          </w:p>
          <w:p>
            <w:pPr>
              <w:spacing w:line="330" w:lineRule="exact"/>
              <w:jc w:val="center"/>
              <w:rPr>
                <w:rFonts w:eastAsia="仿宋_GB2312" w:cs="Calibri"/>
                <w:color w:val="000000"/>
                <w:sz w:val="24"/>
                <w:szCs w:val="21"/>
              </w:rPr>
            </w:pPr>
          </w:p>
          <w:p>
            <w:pPr>
              <w:spacing w:line="330" w:lineRule="exact"/>
              <w:jc w:val="center"/>
              <w:rPr>
                <w:rFonts w:eastAsia="仿宋_GB2312" w:cs="Calibri"/>
                <w:color w:val="000000"/>
                <w:sz w:val="24"/>
                <w:szCs w:val="21"/>
              </w:rPr>
            </w:pPr>
            <w:r>
              <w:rPr>
                <w:rFonts w:hint="eastAsia" w:eastAsia="仿宋_GB2312" w:cs="Calibri"/>
                <w:color w:val="000000"/>
                <w:sz w:val="24"/>
                <w:szCs w:val="21"/>
              </w:rPr>
              <w:t>3</w:t>
            </w:r>
          </w:p>
          <w:p>
            <w:pPr>
              <w:spacing w:line="330" w:lineRule="exact"/>
              <w:jc w:val="center"/>
              <w:rPr>
                <w:rFonts w:eastAsia="仿宋_GB2312" w:cs="Calibri"/>
                <w:color w:val="000000"/>
                <w:sz w:val="24"/>
                <w:szCs w:val="21"/>
              </w:rPr>
            </w:pPr>
          </w:p>
          <w:p>
            <w:pPr>
              <w:spacing w:line="330" w:lineRule="exact"/>
              <w:rPr>
                <w:rFonts w:eastAsia="仿宋_GB2312" w:cs="Calibri"/>
                <w:color w:val="000000"/>
                <w:sz w:val="24"/>
                <w:szCs w:val="21"/>
              </w:rPr>
            </w:pPr>
          </w:p>
        </w:tc>
        <w:tc>
          <w:tcPr>
            <w:tcW w:w="840" w:type="dxa"/>
            <w:tcBorders>
              <w:top w:val="single" w:color="auto" w:sz="4" w:space="0"/>
            </w:tcBorders>
            <w:noWrap/>
            <w:vAlign w:val="center"/>
          </w:tcPr>
          <w:p>
            <w:pPr>
              <w:spacing w:line="330" w:lineRule="exact"/>
              <w:jc w:val="center"/>
              <w:rPr>
                <w:rFonts w:ascii="仿宋_GB2312" w:hAnsi="宋体" w:eastAsia="仿宋_GB2312"/>
                <w:color w:val="000000"/>
                <w:szCs w:val="21"/>
              </w:rPr>
            </w:pPr>
          </w:p>
        </w:tc>
        <w:tc>
          <w:tcPr>
            <w:tcW w:w="742" w:type="dxa"/>
            <w:tcBorders>
              <w:top w:val="single" w:color="auto" w:sz="4" w:space="0"/>
              <w:right w:val="single" w:color="auto" w:sz="4" w:space="0"/>
            </w:tcBorders>
            <w:noWrap/>
            <w:vAlign w:val="center"/>
          </w:tcPr>
          <w:p>
            <w:pPr>
              <w:spacing w:line="330" w:lineRule="exact"/>
              <w:jc w:val="center"/>
              <w:rPr>
                <w:rFonts w:ascii="仿宋_GB2312" w:hAnsi="宋体" w:eastAsia="仿宋_GB2312"/>
                <w:color w:val="000000"/>
                <w:szCs w:val="21"/>
              </w:rPr>
            </w:pPr>
          </w:p>
        </w:tc>
        <w:tc>
          <w:tcPr>
            <w:tcW w:w="4826" w:type="dxa"/>
            <w:tcBorders>
              <w:top w:val="single" w:color="auto" w:sz="4" w:space="0"/>
              <w:left w:val="single" w:color="auto" w:sz="4" w:space="0"/>
            </w:tcBorders>
            <w:noWrap/>
            <w:vAlign w:val="center"/>
          </w:tcPr>
          <w:p>
            <w:pPr>
              <w:spacing w:line="33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查看会议记录和相关资料，访谈律师。</w:t>
            </w:r>
          </w:p>
          <w:p>
            <w:pPr>
              <w:spacing w:line="330" w:lineRule="exact"/>
              <w:rPr>
                <w:rFonts w:ascii="仿宋_GB2312" w:eastAsia="仿宋_GB2312"/>
                <w:b/>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没有建立重大疑难案件集体讨论制度的扣1分，重大疑难案件不实行集体讨论或集体讨论会议记录不完备的扣2分。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4" w:hRule="atLeast"/>
        </w:trPr>
        <w:tc>
          <w:tcPr>
            <w:tcW w:w="516" w:type="dxa"/>
            <w:vMerge w:val="continue"/>
            <w:noWrap/>
            <w:vAlign w:val="center"/>
          </w:tcPr>
          <w:p>
            <w:pPr>
              <w:spacing w:line="280" w:lineRule="exact"/>
              <w:jc w:val="center"/>
              <w:rPr>
                <w:color w:val="000000"/>
                <w:sz w:val="24"/>
              </w:rPr>
            </w:pPr>
          </w:p>
        </w:tc>
        <w:tc>
          <w:tcPr>
            <w:tcW w:w="868" w:type="dxa"/>
            <w:vMerge w:val="restart"/>
            <w:tcBorders>
              <w:top w:val="single" w:color="auto" w:sz="4" w:space="0"/>
            </w:tcBorders>
            <w:noWrap/>
            <w:vAlign w:val="center"/>
          </w:tcPr>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财务管理</w:t>
            </w:r>
          </w:p>
          <w:p>
            <w:pPr>
              <w:spacing w:line="280" w:lineRule="exact"/>
              <w:jc w:val="center"/>
              <w:rPr>
                <w:color w:val="000000"/>
                <w:sz w:val="24"/>
              </w:rPr>
            </w:pPr>
            <w:r>
              <w:rPr>
                <w:color w:val="000000"/>
                <w:sz w:val="24"/>
              </w:rPr>
              <w:t>5分</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p>
        </w:tc>
        <w:tc>
          <w:tcPr>
            <w:tcW w:w="5579" w:type="dxa"/>
            <w:noWrap/>
            <w:vAlign w:val="center"/>
          </w:tcPr>
          <w:p>
            <w:pPr>
              <w:spacing w:line="330" w:lineRule="exact"/>
              <w:rPr>
                <w:rFonts w:ascii="仿宋_GB2312" w:hAnsi="宋体" w:eastAsia="仿宋_GB2312"/>
                <w:color w:val="000000"/>
                <w:szCs w:val="21"/>
              </w:rPr>
            </w:pPr>
            <w:r>
              <w:rPr>
                <w:rFonts w:hint="eastAsia" w:ascii="仿宋_GB2312" w:hAnsi="宋体" w:eastAsia="仿宋_GB2312"/>
                <w:color w:val="000000"/>
                <w:szCs w:val="21"/>
              </w:rPr>
              <w:t>会计和出纳符合国家规定并分设，遵守国家规定的现金管理和结算制度，依法管理银行账户和支票。财务管理制度健全，做到统一入账，账目清楚，财务资料真实、准确、完整。财务状况定期向合伙人公开。</w:t>
            </w:r>
          </w:p>
        </w:tc>
        <w:tc>
          <w:tcPr>
            <w:tcW w:w="836" w:type="dxa"/>
            <w:noWrap/>
            <w:vAlign w:val="center"/>
          </w:tcPr>
          <w:p>
            <w:pPr>
              <w:spacing w:line="330" w:lineRule="exact"/>
              <w:jc w:val="center"/>
              <w:rPr>
                <w:rFonts w:eastAsia="仿宋_GB2312" w:cs="Calibri"/>
                <w:color w:val="000000"/>
                <w:sz w:val="24"/>
                <w:szCs w:val="21"/>
              </w:rPr>
            </w:pPr>
            <w:r>
              <w:rPr>
                <w:rFonts w:eastAsia="仿宋_GB2312" w:cs="Calibri"/>
                <w:color w:val="000000"/>
                <w:sz w:val="24"/>
                <w:szCs w:val="21"/>
              </w:rPr>
              <w:t>2</w:t>
            </w:r>
          </w:p>
        </w:tc>
        <w:tc>
          <w:tcPr>
            <w:tcW w:w="840" w:type="dxa"/>
            <w:noWrap/>
            <w:vAlign w:val="center"/>
          </w:tcPr>
          <w:p>
            <w:pPr>
              <w:spacing w:line="33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3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3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3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没有统一入账或账面不清晰、财务资料不真实、不完整的扣1分，财务状况没有向全体合伙人公开的扣1分。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30" w:lineRule="exact"/>
              <w:rPr>
                <w:rFonts w:ascii="仿宋_GB2312" w:hAnsi="宋体" w:eastAsia="仿宋_GB2312"/>
                <w:color w:val="000000"/>
                <w:szCs w:val="21"/>
              </w:rPr>
            </w:pPr>
            <w:r>
              <w:rPr>
                <w:rFonts w:hint="eastAsia" w:ascii="仿宋_GB2312" w:hAnsi="宋体" w:eastAsia="仿宋_GB2312"/>
                <w:color w:val="000000"/>
                <w:szCs w:val="21"/>
              </w:rPr>
              <w:t>制定科学合理的薪酬分配机制，分配制度符合有关规定。按规定提留事业发展、执业风险和培训基金。</w:t>
            </w:r>
          </w:p>
        </w:tc>
        <w:tc>
          <w:tcPr>
            <w:tcW w:w="836" w:type="dxa"/>
            <w:noWrap/>
            <w:vAlign w:val="center"/>
          </w:tcPr>
          <w:p>
            <w:pPr>
              <w:spacing w:line="330" w:lineRule="exact"/>
              <w:jc w:val="center"/>
              <w:rPr>
                <w:rFonts w:eastAsia="仿宋_GB2312" w:cs="Calibri"/>
                <w:color w:val="000000"/>
                <w:sz w:val="24"/>
                <w:szCs w:val="21"/>
              </w:rPr>
            </w:pPr>
            <w:r>
              <w:rPr>
                <w:rFonts w:eastAsia="仿宋_GB2312" w:cs="Calibri"/>
                <w:color w:val="000000"/>
                <w:sz w:val="24"/>
                <w:szCs w:val="21"/>
              </w:rPr>
              <w:t>2</w:t>
            </w:r>
          </w:p>
        </w:tc>
        <w:tc>
          <w:tcPr>
            <w:tcW w:w="840" w:type="dxa"/>
            <w:noWrap/>
            <w:vAlign w:val="center"/>
          </w:tcPr>
          <w:p>
            <w:pPr>
              <w:spacing w:line="33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3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3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3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律师事务所实行承包制或简单的提成制，提成比例超过有关规定的扣</w:t>
            </w:r>
            <w:r>
              <w:rPr>
                <w:rFonts w:ascii="仿宋_GB2312" w:hAnsi="宋体" w:eastAsia="仿宋_GB2312"/>
                <w:color w:val="000000"/>
                <w:szCs w:val="21"/>
              </w:rPr>
              <w:t>1</w:t>
            </w:r>
            <w:r>
              <w:rPr>
                <w:rFonts w:hint="eastAsia" w:ascii="仿宋_GB2312" w:hAnsi="宋体" w:eastAsia="仿宋_GB2312"/>
                <w:color w:val="000000"/>
                <w:szCs w:val="21"/>
              </w:rPr>
              <w:t>分，律师事务所没有按规定提留事业发展、执业风险和培训基金的扣1分。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280" w:lineRule="exact"/>
              <w:jc w:val="center"/>
              <w:rPr>
                <w:color w:val="000000"/>
                <w:sz w:val="24"/>
              </w:rPr>
            </w:pPr>
          </w:p>
        </w:tc>
        <w:tc>
          <w:tcPr>
            <w:tcW w:w="5579" w:type="dxa"/>
            <w:noWrap/>
            <w:vAlign w:val="center"/>
          </w:tcPr>
          <w:p>
            <w:pPr>
              <w:spacing w:line="330" w:lineRule="exact"/>
              <w:rPr>
                <w:rFonts w:ascii="仿宋_GB2312" w:hAnsi="宋体" w:eastAsia="仿宋_GB2312"/>
                <w:color w:val="000000"/>
                <w:szCs w:val="21"/>
              </w:rPr>
            </w:pPr>
            <w:r>
              <w:rPr>
                <w:rFonts w:hint="eastAsia" w:ascii="仿宋_GB2312" w:hAnsi="宋体" w:eastAsia="仿宋_GB2312"/>
                <w:color w:val="000000"/>
                <w:szCs w:val="21"/>
              </w:rPr>
              <w:t>依法纳税</w:t>
            </w:r>
          </w:p>
        </w:tc>
        <w:tc>
          <w:tcPr>
            <w:tcW w:w="836" w:type="dxa"/>
            <w:noWrap/>
            <w:vAlign w:val="center"/>
          </w:tcPr>
          <w:p>
            <w:pPr>
              <w:spacing w:line="330" w:lineRule="exact"/>
              <w:jc w:val="center"/>
              <w:rPr>
                <w:rFonts w:eastAsia="仿宋_GB2312" w:cs="Calibri"/>
                <w:color w:val="000000"/>
                <w:sz w:val="24"/>
                <w:szCs w:val="21"/>
              </w:rPr>
            </w:pPr>
            <w:r>
              <w:rPr>
                <w:rFonts w:eastAsia="仿宋_GB2312" w:cs="Calibri"/>
                <w:color w:val="000000"/>
                <w:sz w:val="24"/>
                <w:szCs w:val="21"/>
              </w:rPr>
              <w:t>1</w:t>
            </w:r>
          </w:p>
        </w:tc>
        <w:tc>
          <w:tcPr>
            <w:tcW w:w="840" w:type="dxa"/>
            <w:noWrap/>
            <w:vAlign w:val="center"/>
          </w:tcPr>
          <w:p>
            <w:pPr>
              <w:spacing w:line="33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3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30" w:lineRule="exact"/>
              <w:rPr>
                <w:rFonts w:ascii="仿宋_GB2312" w:eastAsia="仿宋_GB2312"/>
                <w:b/>
                <w:color w:val="000000"/>
                <w:szCs w:val="21"/>
              </w:rPr>
            </w:pPr>
            <w:r>
              <w:rPr>
                <w:rFonts w:ascii="仿宋_GB2312" w:eastAsia="仿宋_GB2312"/>
                <w:b/>
                <w:color w:val="000000"/>
                <w:szCs w:val="21"/>
              </w:rPr>
              <w:t>考评标准</w:t>
            </w:r>
            <w:r>
              <w:rPr>
                <w:rFonts w:hint="eastAsia" w:ascii="仿宋_GB2312" w:eastAsia="仿宋_GB2312"/>
                <w:b/>
                <w:color w:val="000000"/>
                <w:szCs w:val="21"/>
              </w:rPr>
              <w:t>：</w:t>
            </w:r>
            <w:r>
              <w:rPr>
                <w:rFonts w:ascii="仿宋_GB2312" w:eastAsia="仿宋_GB2312"/>
                <w:color w:val="000000"/>
                <w:szCs w:val="21"/>
              </w:rPr>
              <w:t>查看相关资料</w:t>
            </w:r>
            <w:r>
              <w:rPr>
                <w:rFonts w:hint="eastAsia" w:ascii="仿宋_GB2312" w:eastAsia="仿宋_GB2312"/>
                <w:color w:val="000000"/>
                <w:szCs w:val="21"/>
              </w:rPr>
              <w:t>，</w:t>
            </w:r>
            <w:r>
              <w:rPr>
                <w:rFonts w:ascii="仿宋_GB2312" w:eastAsia="仿宋_GB2312"/>
                <w:color w:val="000000"/>
                <w:szCs w:val="21"/>
              </w:rPr>
              <w:t>访谈律师</w:t>
            </w:r>
            <w:r>
              <w:rPr>
                <w:rFonts w:hint="eastAsia" w:ascii="仿宋_GB2312" w:eastAsia="仿宋_GB2312"/>
                <w:color w:val="000000"/>
                <w:szCs w:val="21"/>
              </w:rPr>
              <w:t>。</w:t>
            </w:r>
          </w:p>
          <w:p>
            <w:pPr>
              <w:spacing w:line="33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律师事务所没有依法纳税的扣</w:t>
            </w:r>
            <w:r>
              <w:rPr>
                <w:rFonts w:ascii="仿宋_GB2312" w:hAnsi="宋体" w:eastAsia="仿宋_GB2312"/>
                <w:color w:val="000000"/>
                <w:szCs w:val="21"/>
              </w:rPr>
              <w:t>1</w:t>
            </w:r>
            <w:r>
              <w:rPr>
                <w:rFonts w:hint="eastAsia" w:ascii="仿宋_GB2312" w:hAnsi="宋体" w:eastAsia="仿宋_GB2312"/>
                <w:color w:val="00000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0" w:hRule="atLeast"/>
        </w:trPr>
        <w:tc>
          <w:tcPr>
            <w:tcW w:w="516" w:type="dxa"/>
            <w:vMerge w:val="continue"/>
            <w:noWrap/>
            <w:vAlign w:val="center"/>
          </w:tcPr>
          <w:p>
            <w:pPr>
              <w:spacing w:line="280" w:lineRule="exact"/>
              <w:jc w:val="center"/>
              <w:rPr>
                <w:color w:val="000000"/>
                <w:sz w:val="24"/>
              </w:rPr>
            </w:pPr>
          </w:p>
        </w:tc>
        <w:tc>
          <w:tcPr>
            <w:tcW w:w="868" w:type="dxa"/>
            <w:vMerge w:val="restart"/>
            <w:noWrap/>
            <w:vAlign w:val="center"/>
          </w:tcPr>
          <w:p>
            <w:pPr>
              <w:spacing w:line="340" w:lineRule="exact"/>
              <w:jc w:val="center"/>
              <w:rPr>
                <w:color w:val="000000"/>
                <w:sz w:val="24"/>
              </w:rPr>
            </w:pPr>
            <w:r>
              <w:rPr>
                <w:rFonts w:hint="eastAsia"/>
                <w:color w:val="000000"/>
                <w:sz w:val="24"/>
              </w:rPr>
              <w:t>风险防范</w:t>
            </w:r>
          </w:p>
          <w:p>
            <w:pPr>
              <w:spacing w:line="340" w:lineRule="exact"/>
              <w:jc w:val="center"/>
              <w:rPr>
                <w:color w:val="000000"/>
                <w:sz w:val="24"/>
              </w:rPr>
            </w:pPr>
            <w:r>
              <w:rPr>
                <w:rFonts w:hint="eastAsia"/>
                <w:color w:val="000000"/>
                <w:sz w:val="24"/>
              </w:rPr>
              <w:t>5</w:t>
            </w:r>
            <w:r>
              <w:rPr>
                <w:color w:val="000000"/>
                <w:sz w:val="24"/>
              </w:rPr>
              <w:t>分</w:t>
            </w:r>
          </w:p>
        </w:tc>
        <w:tc>
          <w:tcPr>
            <w:tcW w:w="5579" w:type="dxa"/>
            <w:noWrap/>
            <w:vAlign w:val="center"/>
          </w:tcPr>
          <w:p>
            <w:pPr>
              <w:spacing w:line="340" w:lineRule="exact"/>
              <w:rPr>
                <w:rFonts w:ascii="仿宋_GB2312" w:hAnsi="宋体" w:eastAsia="仿宋_GB2312"/>
                <w:color w:val="000000"/>
                <w:szCs w:val="21"/>
              </w:rPr>
            </w:pPr>
            <w:r>
              <w:rPr>
                <w:rFonts w:hint="eastAsia" w:ascii="仿宋_GB2312" w:hAnsi="宋体" w:eastAsia="仿宋_GB2312"/>
                <w:color w:val="000000"/>
                <w:szCs w:val="21"/>
              </w:rPr>
              <w:t>健全投诉处理制度，建立投诉处理台账，公布投诉电话。设立专门的投诉处理机构或安排专人负责。接到投诉及时处理、纠正本所及执业律师的违规行为，做到件件有着落，事事有答复。</w:t>
            </w:r>
          </w:p>
        </w:tc>
        <w:tc>
          <w:tcPr>
            <w:tcW w:w="836" w:type="dxa"/>
            <w:noWrap/>
            <w:vAlign w:val="center"/>
          </w:tcPr>
          <w:p>
            <w:pPr>
              <w:spacing w:line="340" w:lineRule="exact"/>
              <w:jc w:val="center"/>
              <w:rPr>
                <w:rFonts w:eastAsia="仿宋_GB2312" w:cs="Calibri"/>
                <w:color w:val="000000"/>
                <w:sz w:val="24"/>
                <w:szCs w:val="21"/>
              </w:rPr>
            </w:pPr>
            <w:r>
              <w:rPr>
                <w:rFonts w:hint="eastAsia" w:eastAsia="仿宋_GB2312" w:cs="Calibri"/>
                <w:color w:val="000000"/>
                <w:sz w:val="24"/>
                <w:szCs w:val="21"/>
              </w:rPr>
              <w:t>3</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查看相关资料，访谈投诉人。</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没有建立投诉处理台账，公布投诉电话的扣1分，没有设立专门投诉处理机构或安排专人负责的扣1分，有投诉未处理或处理不到位的扣1分。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6" w:hRule="exact"/>
        </w:trPr>
        <w:tc>
          <w:tcPr>
            <w:tcW w:w="516" w:type="dxa"/>
            <w:vMerge w:val="continue"/>
            <w:noWrap/>
            <w:vAlign w:val="center"/>
          </w:tcPr>
          <w:p>
            <w:pPr>
              <w:spacing w:line="280" w:lineRule="exact"/>
              <w:jc w:val="center"/>
              <w:rPr>
                <w:color w:val="000000"/>
                <w:sz w:val="24"/>
              </w:rPr>
            </w:pPr>
          </w:p>
        </w:tc>
        <w:tc>
          <w:tcPr>
            <w:tcW w:w="868" w:type="dxa"/>
            <w:vMerge w:val="continue"/>
            <w:noWrap/>
            <w:vAlign w:val="center"/>
          </w:tcPr>
          <w:p>
            <w:pPr>
              <w:spacing w:line="340" w:lineRule="exact"/>
              <w:jc w:val="center"/>
              <w:rPr>
                <w:color w:val="000000"/>
                <w:sz w:val="24"/>
              </w:rPr>
            </w:pPr>
          </w:p>
        </w:tc>
        <w:tc>
          <w:tcPr>
            <w:tcW w:w="5579" w:type="dxa"/>
            <w:noWrap/>
            <w:vAlign w:val="center"/>
          </w:tcPr>
          <w:p>
            <w:pPr>
              <w:spacing w:line="340" w:lineRule="exact"/>
              <w:rPr>
                <w:rFonts w:ascii="仿宋_GB2312" w:hAnsi="宋体" w:eastAsia="仿宋_GB2312"/>
                <w:color w:val="000000"/>
                <w:szCs w:val="21"/>
              </w:rPr>
            </w:pPr>
            <w:r>
              <w:rPr>
                <w:rFonts w:hint="eastAsia" w:ascii="仿宋_GB2312" w:hAnsi="宋体" w:eastAsia="仿宋_GB2312"/>
                <w:color w:val="000000"/>
                <w:szCs w:val="21"/>
              </w:rPr>
              <w:t>建立健全风险评估及风险管理措施，按规定参加执业责任保险。</w:t>
            </w:r>
          </w:p>
        </w:tc>
        <w:tc>
          <w:tcPr>
            <w:tcW w:w="836" w:type="dxa"/>
            <w:noWrap/>
            <w:vAlign w:val="center"/>
          </w:tcPr>
          <w:p>
            <w:pPr>
              <w:spacing w:line="340" w:lineRule="exact"/>
              <w:jc w:val="center"/>
              <w:rPr>
                <w:rFonts w:eastAsia="仿宋_GB2312" w:cs="Calibri"/>
                <w:color w:val="000000"/>
                <w:szCs w:val="21"/>
              </w:rPr>
            </w:pPr>
            <w:r>
              <w:rPr>
                <w:rFonts w:eastAsia="仿宋_GB2312" w:cs="Calibri"/>
                <w:color w:val="000000"/>
                <w:sz w:val="24"/>
                <w:szCs w:val="21"/>
              </w:rPr>
              <w:t>2</w:t>
            </w:r>
          </w:p>
        </w:tc>
        <w:tc>
          <w:tcPr>
            <w:tcW w:w="840" w:type="dxa"/>
            <w:noWrap/>
            <w:vAlign w:val="center"/>
          </w:tcPr>
          <w:p>
            <w:pPr>
              <w:spacing w:line="340" w:lineRule="exact"/>
              <w:jc w:val="center"/>
              <w:rPr>
                <w:rFonts w:ascii="仿宋_GB2312" w:hAnsi="宋体"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hAnsi="宋体" w:eastAsia="仿宋_GB2312"/>
                <w:color w:val="000000"/>
                <w:szCs w:val="21"/>
              </w:rPr>
            </w:pPr>
          </w:p>
        </w:tc>
        <w:tc>
          <w:tcPr>
            <w:tcW w:w="4826" w:type="dxa"/>
            <w:tcBorders>
              <w:left w:val="single" w:color="auto" w:sz="4" w:space="0"/>
            </w:tcBorders>
            <w:noWrap/>
            <w:vAlign w:val="center"/>
          </w:tcPr>
          <w:p>
            <w:pPr>
              <w:spacing w:line="340" w:lineRule="exact"/>
              <w:rPr>
                <w:rFonts w:ascii="仿宋_GB2312" w:hAnsi="宋体" w:eastAsia="仿宋_GB2312"/>
                <w:color w:val="000000"/>
                <w:kern w:val="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w:t>
            </w:r>
          </w:p>
          <w:p>
            <w:pPr>
              <w:spacing w:line="340" w:lineRule="exact"/>
              <w:rPr>
                <w:rFonts w:ascii="仿宋_GB2312" w:hAnsi="宋体"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w:t>
            </w:r>
            <w:r>
              <w:rPr>
                <w:rFonts w:hint="eastAsia" w:ascii="仿宋_GB2312" w:hAnsi="宋体" w:eastAsia="仿宋_GB2312"/>
                <w:color w:val="000000"/>
                <w:szCs w:val="21"/>
              </w:rPr>
              <w:t>没有经合伙人会议制定风险管理措施的，或出现执业责任保险索赔的扣2分。</w:t>
            </w:r>
          </w:p>
          <w:p>
            <w:pPr>
              <w:spacing w:line="340" w:lineRule="exact"/>
              <w:rPr>
                <w:rFonts w:ascii="仿宋_GB2312" w:hAnsi="宋体" w:eastAsia="仿宋_GB2312"/>
                <w:color w:val="000000"/>
                <w:szCs w:val="21"/>
              </w:rPr>
            </w:pPr>
            <w:r>
              <w:rPr>
                <w:rFonts w:ascii="仿宋_GB2312" w:hAnsi="宋体" w:eastAsia="仿宋_GB2312"/>
                <w:b/>
                <w:color w:val="000000"/>
                <w:szCs w:val="21"/>
              </w:rPr>
              <w:t>加分项</w:t>
            </w:r>
            <w:r>
              <w:rPr>
                <w:rFonts w:hint="eastAsia" w:ascii="仿宋_GB2312" w:hAnsi="宋体" w:eastAsia="仿宋_GB2312"/>
                <w:b/>
                <w:color w:val="000000"/>
                <w:szCs w:val="21"/>
              </w:rPr>
              <w:t>：</w:t>
            </w:r>
            <w:r>
              <w:rPr>
                <w:rFonts w:hint="eastAsia" w:ascii="仿宋_GB2312" w:hAnsi="宋体" w:eastAsia="仿宋_GB2312"/>
                <w:color w:val="000000"/>
                <w:szCs w:val="21"/>
              </w:rPr>
              <w:t>律师事务所另行购买其他商业执业责任险的加1分。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4" w:hRule="atLeast"/>
        </w:trPr>
        <w:tc>
          <w:tcPr>
            <w:tcW w:w="516" w:type="dxa"/>
            <w:vMerge w:val="restart"/>
            <w:noWrap/>
            <w:vAlign w:val="center"/>
          </w:tcPr>
          <w:p>
            <w:pPr>
              <w:spacing w:line="280" w:lineRule="exact"/>
              <w:jc w:val="center"/>
              <w:rPr>
                <w:color w:val="000000"/>
                <w:sz w:val="24"/>
              </w:rPr>
            </w:pPr>
          </w:p>
          <w:p>
            <w:pPr>
              <w:spacing w:line="280" w:lineRule="exact"/>
              <w:jc w:val="center"/>
              <w:rPr>
                <w:color w:val="000000"/>
                <w:sz w:val="24"/>
              </w:rPr>
            </w:pPr>
            <w:r>
              <w:rPr>
                <w:rFonts w:hint="eastAsia"/>
                <w:color w:val="000000"/>
                <w:sz w:val="24"/>
              </w:rPr>
              <w:t>履行社会责任和行业义务情况</w:t>
            </w:r>
          </w:p>
          <w:p>
            <w:pPr>
              <w:spacing w:line="280" w:lineRule="exact"/>
              <w:jc w:val="center"/>
              <w:rPr>
                <w:color w:val="000000"/>
                <w:sz w:val="24"/>
              </w:rPr>
            </w:pPr>
            <w:r>
              <w:rPr>
                <w:color w:val="000000"/>
                <w:sz w:val="24"/>
              </w:rPr>
              <w:t>6</w:t>
            </w:r>
            <w:r>
              <w:rPr>
                <w:rFonts w:hint="eastAsia"/>
                <w:color w:val="000000"/>
                <w:sz w:val="24"/>
              </w:rPr>
              <w:t>分</w:t>
            </w:r>
          </w:p>
          <w:p>
            <w:pPr>
              <w:spacing w:line="280" w:lineRule="exact"/>
              <w:jc w:val="center"/>
              <w:rPr>
                <w:color w:val="000000"/>
                <w:sz w:val="24"/>
              </w:rPr>
            </w:pPr>
          </w:p>
          <w:p>
            <w:pPr>
              <w:spacing w:line="280" w:lineRule="exact"/>
              <w:jc w:val="center"/>
              <w:rPr>
                <w:color w:val="000000"/>
                <w:sz w:val="24"/>
              </w:rPr>
            </w:pPr>
          </w:p>
          <w:p>
            <w:pPr>
              <w:spacing w:line="280" w:lineRule="exact"/>
              <w:rPr>
                <w:color w:val="000000"/>
                <w:sz w:val="24"/>
              </w:rPr>
            </w:pPr>
          </w:p>
          <w:p>
            <w:pPr>
              <w:spacing w:line="280" w:lineRule="exact"/>
              <w:jc w:val="center"/>
              <w:rPr>
                <w:color w:val="000000"/>
                <w:sz w:val="24"/>
              </w:rPr>
            </w:pPr>
          </w:p>
          <w:p>
            <w:pPr>
              <w:spacing w:line="280" w:lineRule="exact"/>
              <w:rPr>
                <w:color w:val="000000"/>
                <w:sz w:val="24"/>
              </w:rPr>
            </w:pPr>
          </w:p>
        </w:tc>
        <w:tc>
          <w:tcPr>
            <w:tcW w:w="868" w:type="dxa"/>
            <w:noWrap/>
            <w:vAlign w:val="center"/>
          </w:tcPr>
          <w:p>
            <w:pPr>
              <w:spacing w:line="280" w:lineRule="exact"/>
              <w:jc w:val="center"/>
              <w:rPr>
                <w:color w:val="000000"/>
                <w:sz w:val="24"/>
              </w:rPr>
            </w:pPr>
            <w:r>
              <w:rPr>
                <w:color w:val="000000"/>
                <w:sz w:val="24"/>
              </w:rPr>
              <w:t>履行法律援助义务</w:t>
            </w:r>
            <w:r>
              <w:rPr>
                <w:rFonts w:hint="eastAsia"/>
                <w:color w:val="000000"/>
                <w:sz w:val="24"/>
              </w:rPr>
              <w:t>参加公益活动</w:t>
            </w:r>
          </w:p>
          <w:p>
            <w:pPr>
              <w:spacing w:line="340" w:lineRule="exact"/>
              <w:jc w:val="center"/>
              <w:rPr>
                <w:color w:val="000000"/>
                <w:sz w:val="24"/>
              </w:rPr>
            </w:pPr>
          </w:p>
        </w:tc>
        <w:tc>
          <w:tcPr>
            <w:tcW w:w="5579" w:type="dxa"/>
            <w:noWrap/>
            <w:vAlign w:val="center"/>
          </w:tcPr>
          <w:p>
            <w:pPr>
              <w:spacing w:line="340" w:lineRule="exact"/>
              <w:rPr>
                <w:rFonts w:ascii="仿宋_GB2312" w:eastAsia="仿宋_GB2312"/>
                <w:color w:val="000000"/>
                <w:szCs w:val="21"/>
              </w:rPr>
            </w:pPr>
            <w:r>
              <w:rPr>
                <w:rFonts w:hint="eastAsia" w:ascii="仿宋_GB2312" w:eastAsia="仿宋_GB2312"/>
                <w:color w:val="000000"/>
                <w:szCs w:val="21"/>
              </w:rPr>
              <w:t>律师应当接受律师事务所或法律援助中心指派认真办理法律援助案件以及积极承办司法行政机关组织的公益法律服务，按要求参与涉法涉诉信访接待、处理。</w:t>
            </w:r>
          </w:p>
          <w:p>
            <w:pPr>
              <w:spacing w:line="340" w:lineRule="exact"/>
              <w:rPr>
                <w:rFonts w:ascii="仿宋_GB2312" w:eastAsia="仿宋_GB2312"/>
                <w:color w:val="000000"/>
                <w:szCs w:val="21"/>
              </w:rPr>
            </w:pPr>
            <w:r>
              <w:rPr>
                <w:rFonts w:hint="eastAsia" w:ascii="仿宋_GB2312" w:eastAsia="仿宋_GB2312"/>
                <w:color w:val="000000"/>
                <w:szCs w:val="21"/>
              </w:rPr>
              <w:t>律师事务所、律师积极参加社会公益活动，开展扶贫、助学、救灾等。</w:t>
            </w:r>
          </w:p>
        </w:tc>
        <w:tc>
          <w:tcPr>
            <w:tcW w:w="836" w:type="dxa"/>
            <w:noWrap/>
            <w:vAlign w:val="center"/>
          </w:tcPr>
          <w:p>
            <w:pPr>
              <w:spacing w:line="340" w:lineRule="exact"/>
              <w:jc w:val="center"/>
              <w:rPr>
                <w:rFonts w:eastAsia="仿宋_GB2312" w:cs="Calibri"/>
                <w:color w:val="000000"/>
                <w:sz w:val="24"/>
                <w:szCs w:val="21"/>
              </w:rPr>
            </w:pPr>
            <w:r>
              <w:rPr>
                <w:rFonts w:eastAsia="仿宋_GB2312" w:cs="Calibri"/>
                <w:color w:val="000000"/>
                <w:sz w:val="24"/>
                <w:szCs w:val="21"/>
              </w:rPr>
              <w:t>3</w:t>
            </w:r>
          </w:p>
        </w:tc>
        <w:tc>
          <w:tcPr>
            <w:tcW w:w="840" w:type="dxa"/>
            <w:noWrap/>
            <w:vAlign w:val="center"/>
          </w:tcPr>
          <w:p>
            <w:pPr>
              <w:spacing w:line="34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34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340" w:lineRule="exact"/>
              <w:rPr>
                <w:rFonts w:ascii="仿宋_GB2312" w:eastAsia="仿宋_GB2312"/>
                <w:b/>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w:t>
            </w:r>
            <w:r>
              <w:rPr>
                <w:rFonts w:hint="eastAsia" w:ascii="仿宋_GB2312" w:hAnsi="宋体" w:eastAsia="仿宋_GB2312"/>
                <w:color w:val="000000"/>
                <w:kern w:val="0"/>
                <w:szCs w:val="21"/>
              </w:rPr>
              <w:t>查看相关资料，访谈律师。</w:t>
            </w:r>
          </w:p>
          <w:p>
            <w:pPr>
              <w:spacing w:line="340" w:lineRule="exact"/>
              <w:rPr>
                <w:rFonts w:ascii="仿宋_GB2312" w:eastAsia="仿宋_GB2312"/>
                <w:color w:val="000000"/>
                <w:szCs w:val="21"/>
              </w:rPr>
            </w:pPr>
            <w:r>
              <w:rPr>
                <w:rFonts w:hint="eastAsia" w:ascii="仿宋_GB2312" w:eastAsia="仿宋_GB2312"/>
                <w:b/>
                <w:color w:val="000000"/>
                <w:szCs w:val="21"/>
              </w:rPr>
              <w:t>扣分标准</w:t>
            </w:r>
            <w:r>
              <w:rPr>
                <w:rFonts w:hint="eastAsia" w:ascii="仿宋_GB2312" w:eastAsia="仿宋_GB2312"/>
                <w:color w:val="000000"/>
                <w:szCs w:val="21"/>
              </w:rPr>
              <w:t>：律师拒绝接受法律援助中心指派办理法律援助案件的扣</w:t>
            </w:r>
            <w:r>
              <w:rPr>
                <w:rFonts w:ascii="仿宋_GB2312" w:eastAsia="仿宋_GB2312"/>
                <w:color w:val="000000"/>
                <w:szCs w:val="21"/>
              </w:rPr>
              <w:t>2</w:t>
            </w:r>
            <w:r>
              <w:rPr>
                <w:rFonts w:hint="eastAsia" w:ascii="仿宋_GB2312" w:eastAsia="仿宋_GB2312"/>
                <w:color w:val="000000"/>
                <w:szCs w:val="21"/>
              </w:rPr>
              <w:t>分，律师事务所、律师评选年度内没有参加扶贫、助学、救灾等社会公益的扣</w:t>
            </w:r>
            <w:r>
              <w:rPr>
                <w:rFonts w:ascii="仿宋_GB2312" w:eastAsia="仿宋_GB2312"/>
                <w:color w:val="000000"/>
                <w:szCs w:val="21"/>
              </w:rPr>
              <w:t>1</w:t>
            </w:r>
            <w:r>
              <w:rPr>
                <w:rFonts w:hint="eastAsia" w:ascii="仿宋_GB2312" w:eastAsia="仿宋_GB2312"/>
                <w:color w:val="000000"/>
                <w:szCs w:val="21"/>
              </w:rPr>
              <w:t>分。</w:t>
            </w:r>
          </w:p>
          <w:p>
            <w:pPr>
              <w:spacing w:line="340" w:lineRule="exact"/>
              <w:rPr>
                <w:rFonts w:ascii="仿宋_GB2312" w:eastAsia="仿宋_GB2312"/>
                <w:color w:val="000000"/>
                <w:szCs w:val="21"/>
              </w:rPr>
            </w:pPr>
            <w:r>
              <w:rPr>
                <w:rFonts w:hint="eastAsia" w:ascii="仿宋_GB2312" w:eastAsia="仿宋_GB2312"/>
                <w:b/>
                <w:color w:val="000000"/>
                <w:szCs w:val="21"/>
              </w:rPr>
              <w:t>加分项：</w:t>
            </w:r>
            <w:r>
              <w:rPr>
                <w:rFonts w:hint="eastAsia" w:ascii="仿宋_GB2312" w:eastAsia="仿宋_GB2312"/>
                <w:color w:val="000000"/>
                <w:szCs w:val="21"/>
              </w:rPr>
              <w:t>律师承办法律援助案件受到表彰的加1分，律师事务所设立专门奖学金的加1分，独资捐建希望学校的加2分。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8" w:hRule="atLeast"/>
        </w:trPr>
        <w:tc>
          <w:tcPr>
            <w:tcW w:w="516" w:type="dxa"/>
            <w:vMerge w:val="continue"/>
            <w:noWrap/>
            <w:vAlign w:val="center"/>
          </w:tcPr>
          <w:p>
            <w:pPr>
              <w:spacing w:line="280" w:lineRule="exact"/>
              <w:jc w:val="center"/>
              <w:rPr>
                <w:color w:val="000000"/>
                <w:sz w:val="24"/>
              </w:rPr>
            </w:pPr>
          </w:p>
        </w:tc>
        <w:tc>
          <w:tcPr>
            <w:tcW w:w="868" w:type="dxa"/>
            <w:noWrap/>
            <w:vAlign w:val="center"/>
          </w:tcPr>
          <w:p>
            <w:pPr>
              <w:spacing w:line="280" w:lineRule="exact"/>
              <w:jc w:val="center"/>
              <w:rPr>
                <w:color w:val="000000"/>
                <w:sz w:val="24"/>
              </w:rPr>
            </w:pPr>
            <w:r>
              <w:rPr>
                <w:rFonts w:hint="eastAsia"/>
                <w:color w:val="000000"/>
                <w:sz w:val="24"/>
              </w:rPr>
              <w:t>履行社会责任参加行业会议活动</w:t>
            </w:r>
          </w:p>
        </w:tc>
        <w:tc>
          <w:tcPr>
            <w:tcW w:w="5579" w:type="dxa"/>
            <w:noWrap/>
            <w:vAlign w:val="center"/>
          </w:tcPr>
          <w:p>
            <w:pPr>
              <w:spacing w:line="280" w:lineRule="exact"/>
              <w:rPr>
                <w:rFonts w:ascii="仿宋_GB2312" w:eastAsia="仿宋_GB2312"/>
                <w:color w:val="000000"/>
                <w:szCs w:val="21"/>
              </w:rPr>
            </w:pPr>
            <w:r>
              <w:rPr>
                <w:rFonts w:hint="eastAsia" w:ascii="仿宋_GB2312" w:eastAsia="仿宋_GB2312"/>
                <w:color w:val="000000"/>
                <w:szCs w:val="21"/>
              </w:rPr>
              <w:t>律师事务所及其律师积极参加党委政府、司法行政机关、律师协会组织的会议、活动，积极服务“三大攻坚战”，为构建和谐社会做出突出贡献。</w:t>
            </w:r>
          </w:p>
        </w:tc>
        <w:tc>
          <w:tcPr>
            <w:tcW w:w="836" w:type="dxa"/>
            <w:noWrap/>
            <w:vAlign w:val="center"/>
          </w:tcPr>
          <w:p>
            <w:pPr>
              <w:spacing w:line="280" w:lineRule="exact"/>
              <w:jc w:val="center"/>
              <w:rPr>
                <w:rFonts w:eastAsia="仿宋_GB2312" w:cs="Calibri"/>
                <w:color w:val="000000"/>
                <w:sz w:val="24"/>
                <w:szCs w:val="21"/>
              </w:rPr>
            </w:pPr>
            <w:r>
              <w:rPr>
                <w:rFonts w:eastAsia="仿宋_GB2312" w:cs="Calibri"/>
                <w:color w:val="000000"/>
                <w:sz w:val="24"/>
                <w:szCs w:val="21"/>
              </w:rPr>
              <w:t>3</w:t>
            </w:r>
          </w:p>
        </w:tc>
        <w:tc>
          <w:tcPr>
            <w:tcW w:w="840" w:type="dxa"/>
            <w:noWrap/>
            <w:vAlign w:val="center"/>
          </w:tcPr>
          <w:p>
            <w:pPr>
              <w:spacing w:line="280" w:lineRule="exact"/>
              <w:jc w:val="center"/>
              <w:rPr>
                <w:rFonts w:ascii="仿宋_GB2312" w:eastAsia="仿宋_GB2312"/>
                <w:color w:val="000000"/>
                <w:szCs w:val="21"/>
              </w:rPr>
            </w:pPr>
          </w:p>
        </w:tc>
        <w:tc>
          <w:tcPr>
            <w:tcW w:w="742" w:type="dxa"/>
            <w:tcBorders>
              <w:right w:val="single" w:color="auto" w:sz="4" w:space="0"/>
            </w:tcBorders>
            <w:noWrap/>
            <w:vAlign w:val="center"/>
          </w:tcPr>
          <w:p>
            <w:pPr>
              <w:spacing w:line="280" w:lineRule="exact"/>
              <w:jc w:val="center"/>
              <w:rPr>
                <w:rFonts w:ascii="仿宋_GB2312" w:eastAsia="仿宋_GB2312"/>
                <w:color w:val="000000"/>
                <w:szCs w:val="21"/>
              </w:rPr>
            </w:pPr>
          </w:p>
        </w:tc>
        <w:tc>
          <w:tcPr>
            <w:tcW w:w="4826" w:type="dxa"/>
            <w:tcBorders>
              <w:left w:val="single" w:color="auto" w:sz="4" w:space="0"/>
            </w:tcBorders>
            <w:noWrap/>
            <w:vAlign w:val="center"/>
          </w:tcPr>
          <w:p>
            <w:pPr>
              <w:spacing w:line="280" w:lineRule="exact"/>
              <w:rPr>
                <w:rFonts w:ascii="仿宋_GB2312" w:eastAsia="仿宋_GB2312"/>
                <w:color w:val="000000"/>
                <w:szCs w:val="21"/>
              </w:rPr>
            </w:pPr>
            <w:r>
              <w:rPr>
                <w:rFonts w:hint="eastAsia" w:ascii="仿宋_GB2312" w:eastAsia="仿宋_GB2312"/>
                <w:b/>
                <w:color w:val="000000"/>
                <w:szCs w:val="21"/>
              </w:rPr>
              <w:t>考评方式</w:t>
            </w:r>
            <w:r>
              <w:rPr>
                <w:rFonts w:hint="eastAsia" w:ascii="仿宋_GB2312" w:eastAsia="仿宋_GB2312"/>
                <w:color w:val="000000"/>
                <w:szCs w:val="21"/>
              </w:rPr>
              <w:t>：查看相关资料。</w:t>
            </w:r>
          </w:p>
          <w:p>
            <w:pPr>
              <w:spacing w:line="280" w:lineRule="exact"/>
              <w:rPr>
                <w:rFonts w:ascii="仿宋_GB2312" w:eastAsia="仿宋_GB2312"/>
                <w:color w:val="000000"/>
                <w:szCs w:val="21"/>
              </w:rPr>
            </w:pPr>
            <w:r>
              <w:rPr>
                <w:rFonts w:ascii="仿宋_GB2312" w:eastAsia="仿宋_GB2312"/>
                <w:b/>
                <w:color w:val="000000"/>
                <w:szCs w:val="21"/>
              </w:rPr>
              <w:t>扣分标准</w:t>
            </w:r>
            <w:r>
              <w:rPr>
                <w:rFonts w:hint="eastAsia" w:ascii="仿宋_GB2312" w:eastAsia="仿宋_GB2312"/>
                <w:b/>
                <w:color w:val="000000"/>
                <w:szCs w:val="21"/>
              </w:rPr>
              <w:t>：</w:t>
            </w:r>
            <w:r>
              <w:rPr>
                <w:rFonts w:hint="eastAsia" w:ascii="仿宋_GB2312" w:eastAsia="仿宋_GB2312"/>
                <w:color w:val="000000"/>
                <w:szCs w:val="21"/>
              </w:rPr>
              <w:t>没有按要求参加党委政府、司法行政机关、律师协会组织的会议、活动的扣2分，未参与服务“三大攻坚战”的扣1分。</w:t>
            </w:r>
          </w:p>
          <w:p>
            <w:pPr>
              <w:spacing w:line="280" w:lineRule="exact"/>
              <w:rPr>
                <w:rFonts w:ascii="仿宋_GB2312" w:eastAsia="仿宋_GB2312"/>
                <w:color w:val="000000"/>
                <w:szCs w:val="21"/>
              </w:rPr>
            </w:pPr>
            <w:r>
              <w:rPr>
                <w:rFonts w:hint="eastAsia" w:ascii="仿宋_GB2312" w:eastAsia="仿宋_GB2312"/>
                <w:b/>
                <w:color w:val="000000"/>
                <w:szCs w:val="21"/>
              </w:rPr>
              <w:t>加分项：</w:t>
            </w:r>
            <w:r>
              <w:rPr>
                <w:rFonts w:hint="eastAsia" w:ascii="仿宋_GB2312" w:eastAsia="仿宋_GB2312"/>
                <w:color w:val="000000"/>
                <w:szCs w:val="21"/>
              </w:rPr>
              <w:t>律师被聘为省法律顾问团成员加2分，被聘为市州法律顾问团成员加1分，律师担任人大代表、政协委员加1分。</w:t>
            </w:r>
          </w:p>
        </w:tc>
      </w:tr>
    </w:tbl>
    <w:p>
      <w:pPr>
        <w:spacing w:line="20" w:lineRule="exact"/>
        <w:rPr>
          <w:color w:val="000000"/>
        </w:rPr>
        <w:sectPr>
          <w:pgSz w:w="16838" w:h="11906" w:orient="landscape"/>
          <w:pgMar w:top="1418" w:right="1418" w:bottom="1134" w:left="1418" w:header="851" w:footer="1247" w:gutter="0"/>
          <w:cols w:space="720" w:num="1"/>
          <w:docGrid w:type="lines" w:linePitch="312" w:charSpace="0"/>
        </w:sect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tbuXfQAAAA&#10;AgEAAA8AAAAAAAAAAQAgAAAAIgAAAGRycy9kb3ducmV2LnhtbFBLAQIUABQAAAAIAIdO4kAi12Vd&#10;swEAAEgDAAAOAAAAAAAAAAEAIAAAAB8BAABkcnMvZTJvRG9jLnhtbFBLBQYAAAAABgAGAFkBAABE&#10;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pYU0AAA&#10;AAMBAAAPAAAAAAAAAAEAIAAAACIAAABkcnMvZG93bnJldi54bWxQSwECFAAUAAAACACHTuJAffg5&#10;Y7QBAABJAwAADgAAAAAAAAABACAAAAAfAQAAZHJzL2Uyb0RvYy54bWxQSwUGAAAAAAYABgBZAQAA&#10;R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E04C0"/>
    <w:rsid w:val="16D311B1"/>
    <w:rsid w:val="35C96B40"/>
    <w:rsid w:val="55B43ED6"/>
    <w:rsid w:val="6D535020"/>
    <w:rsid w:val="751E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nhideWhenUsed/>
    <w:qFormat/>
    <w:uiPriority w:val="0"/>
  </w:style>
  <w:style w:type="character" w:customStyle="1" w:styleId="6">
    <w:name w:val="tpc_content1"/>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2019-05-13T01:44:00Z</dcterms:created>
  <dc:creator>Lenovo</dc:creator>
  <cp:lastModifiedBy>Lenovo</cp:lastModifiedBy>
  <cp:lastPrinted>2019-05-13T11:23:47Z</cp:lastPrinted>
  <dcterms:modified xsi:type="dcterms:W3CDTF">2019-05-13T11:37:40Z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